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theme/themeOverride1.xml" ContentType="application/vnd.openxmlformats-officedocument.themeOverride+xml"/>
  <Override PartName="/word/diagrams/quickStyle2.xml" ContentType="application/vnd.openxmlformats-officedocument.drawingml.diagramStyle+xml"/>
  <Override PartName="/word/charts/chart1.xml" ContentType="application/vnd.openxmlformats-officedocument.drawingml.chart+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4C" w:rsidRPr="00A5720B" w:rsidRDefault="00B4464C" w:rsidP="00B4464C">
      <w:pPr>
        <w:rPr>
          <w:rFonts w:cs="Times New Roman"/>
          <w:lang w:val="fr-FR"/>
        </w:rPr>
      </w:pPr>
      <w:r w:rsidRPr="00A5720B">
        <w:rPr>
          <w:rFonts w:cs="Times New Roman"/>
          <w:noProof/>
        </w:rPr>
        <w:drawing>
          <wp:anchor distT="0" distB="0" distL="114300" distR="114300" simplePos="0" relativeHeight="251666432" behindDoc="0" locked="0" layoutInCell="1" allowOverlap="1" wp14:anchorId="5B4F7321" wp14:editId="12009F1E">
            <wp:simplePos x="0" y="0"/>
            <wp:positionH relativeFrom="column">
              <wp:posOffset>6350</wp:posOffset>
            </wp:positionH>
            <wp:positionV relativeFrom="paragraph">
              <wp:posOffset>0</wp:posOffset>
            </wp:positionV>
            <wp:extent cx="1353820" cy="1123950"/>
            <wp:effectExtent l="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8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720B">
        <w:rPr>
          <w:rFonts w:cs="Times New Roman"/>
          <w:noProof/>
        </w:rPr>
        <w:drawing>
          <wp:anchor distT="0" distB="0" distL="114300" distR="114300" simplePos="0" relativeHeight="251664384" behindDoc="0" locked="0" layoutInCell="1" allowOverlap="1" wp14:anchorId="3CE50B7B" wp14:editId="39F62F65">
            <wp:simplePos x="0" y="0"/>
            <wp:positionH relativeFrom="margin">
              <wp:align>right</wp:align>
            </wp:positionH>
            <wp:positionV relativeFrom="paragraph">
              <wp:posOffset>36018</wp:posOffset>
            </wp:positionV>
            <wp:extent cx="1050966" cy="974612"/>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50966" cy="974612"/>
                    </a:xfrm>
                    <a:prstGeom prst="rect">
                      <a:avLst/>
                    </a:prstGeom>
                    <a:noFill/>
                    <a:ln>
                      <a:noFill/>
                    </a:ln>
                  </pic:spPr>
                </pic:pic>
              </a:graphicData>
            </a:graphic>
          </wp:anchor>
        </w:drawing>
      </w: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F11282" w:rsidRPr="00A5720B" w:rsidRDefault="00F11282" w:rsidP="00F11282">
      <w:pPr>
        <w:spacing w:before="101"/>
        <w:ind w:right="533"/>
        <w:rPr>
          <w:b/>
          <w:color w:val="44546A" w:themeColor="text2"/>
          <w:sz w:val="80"/>
          <w:szCs w:val="80"/>
          <w:lang w:val="fr-FR"/>
        </w:rPr>
      </w:pPr>
      <w:r w:rsidRPr="00A5720B">
        <w:rPr>
          <w:b/>
          <w:color w:val="44546A" w:themeColor="text2"/>
          <w:sz w:val="80"/>
          <w:szCs w:val="80"/>
          <w:lang w:val="fr-FR"/>
        </w:rPr>
        <w:t xml:space="preserve">Analyse situationnelle rapide du DMPA-SC au Niger </w:t>
      </w:r>
    </w:p>
    <w:p w:rsidR="00B4464C" w:rsidRPr="00A5720B" w:rsidRDefault="00F11282" w:rsidP="00F11282">
      <w:pPr>
        <w:rPr>
          <w:sz w:val="52"/>
          <w:szCs w:val="52"/>
          <w:lang w:val="fr-FR"/>
        </w:rPr>
      </w:pPr>
      <w:r w:rsidRPr="00A5720B">
        <w:rPr>
          <w:noProof/>
        </w:rPr>
        <w:drawing>
          <wp:anchor distT="0" distB="0" distL="114300" distR="114300" simplePos="0" relativeHeight="251675648" behindDoc="0" locked="0" layoutInCell="1" allowOverlap="1" wp14:anchorId="2D41758E" wp14:editId="4347A62C">
            <wp:simplePos x="0" y="0"/>
            <wp:positionH relativeFrom="margin">
              <wp:posOffset>2873375</wp:posOffset>
            </wp:positionH>
            <wp:positionV relativeFrom="paragraph">
              <wp:posOffset>330835</wp:posOffset>
            </wp:positionV>
            <wp:extent cx="881976" cy="1520427"/>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PA-SC-Logo_PRINT_5x8-ENGLI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976" cy="1520427"/>
                    </a:xfrm>
                    <a:prstGeom prst="rect">
                      <a:avLst/>
                    </a:prstGeom>
                  </pic:spPr>
                </pic:pic>
              </a:graphicData>
            </a:graphic>
            <wp14:sizeRelH relativeFrom="margin">
              <wp14:pctWidth>0</wp14:pctWidth>
            </wp14:sizeRelH>
            <wp14:sizeRelV relativeFrom="margin">
              <wp14:pctHeight>0</wp14:pctHeight>
            </wp14:sizeRelV>
          </wp:anchor>
        </w:drawing>
      </w:r>
      <w:r w:rsidR="00A14FB2" w:rsidRPr="00A5720B">
        <w:rPr>
          <w:color w:val="5B9BD5" w:themeColor="accent1"/>
          <w:sz w:val="52"/>
          <w:szCs w:val="52"/>
          <w:lang w:val="fr-FR"/>
        </w:rPr>
        <w:t>Juin</w:t>
      </w:r>
      <w:r w:rsidR="00B4464C" w:rsidRPr="00A5720B">
        <w:rPr>
          <w:rFonts w:cs="Times New Roman"/>
          <w:b/>
          <w:lang w:val="fr-FR"/>
        </w:rPr>
        <w:t xml:space="preserve"> </w:t>
      </w:r>
      <w:r w:rsidR="00B4464C" w:rsidRPr="00A5720B">
        <w:rPr>
          <w:color w:val="5B9BD5" w:themeColor="accent1"/>
          <w:sz w:val="52"/>
          <w:szCs w:val="52"/>
          <w:lang w:val="fr-FR"/>
        </w:rPr>
        <w:t>2019</w:t>
      </w:r>
    </w:p>
    <w:p w:rsidR="00B4464C" w:rsidRPr="00A5720B" w:rsidRDefault="00B4464C" w:rsidP="00B4464C">
      <w:pPr>
        <w:rPr>
          <w:rFonts w:cs="Times New Roman"/>
          <w:b/>
          <w:lang w:val="fr-FR"/>
        </w:rPr>
      </w:pPr>
    </w:p>
    <w:p w:rsidR="00B4464C" w:rsidRPr="00A5720B" w:rsidRDefault="00B4464C" w:rsidP="00B4464C">
      <w:pPr>
        <w:rPr>
          <w:rFonts w:cs="Times New Roman"/>
          <w:b/>
          <w:lang w:val="fr-FR"/>
        </w:rPr>
      </w:pPr>
    </w:p>
    <w:p w:rsidR="00F11282" w:rsidRPr="003C5B1A" w:rsidRDefault="00F11282" w:rsidP="00D06818">
      <w:pPr>
        <w:pStyle w:val="Style1"/>
        <w:rPr>
          <w:rFonts w:asciiTheme="minorHAnsi" w:hAnsiTheme="minorHAnsi"/>
          <w:lang w:val="fr-FR"/>
        </w:rPr>
      </w:pPr>
      <w:bookmarkStart w:id="0" w:name="_Toc19105270"/>
      <w:r w:rsidRPr="003C5B1A">
        <w:rPr>
          <w:rFonts w:asciiTheme="minorHAnsi" w:hAnsiTheme="minorHAnsi"/>
          <w:lang w:val="fr-FR"/>
        </w:rPr>
        <w:br w:type="page"/>
      </w: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F11282">
      <w:pPr>
        <w:pStyle w:val="JhpBodyText"/>
        <w:rPr>
          <w:lang w:val="fr-FR"/>
        </w:rPr>
      </w:pPr>
    </w:p>
    <w:p w:rsidR="00F11282" w:rsidRPr="00A5720B" w:rsidRDefault="00F11282" w:rsidP="007D7E4E">
      <w:pPr>
        <w:pStyle w:val="JhpBodyText"/>
        <w:jc w:val="both"/>
        <w:rPr>
          <w:lang w:val="fr-FR"/>
        </w:rPr>
      </w:pPr>
      <w:proofErr w:type="spellStart"/>
      <w:r w:rsidRPr="00A5720B">
        <w:rPr>
          <w:lang w:val="fr-FR"/>
        </w:rPr>
        <w:t>Jhpiego</w:t>
      </w:r>
      <w:proofErr w:type="spellEnd"/>
      <w:r w:rsidRPr="00A5720B">
        <w:rPr>
          <w:lang w:val="fr-FR"/>
        </w:rPr>
        <w:t xml:space="preserve"> est un leader mondial à but non lucratif dans la création et la mise en place de solutions qui transforment la prestation des soins de santé pour le monde en développement.</w:t>
      </w:r>
    </w:p>
    <w:p w:rsidR="00F11282" w:rsidRPr="00A5720B" w:rsidRDefault="00F11282" w:rsidP="007D7E4E">
      <w:pPr>
        <w:pStyle w:val="JhpBodyText"/>
        <w:jc w:val="both"/>
        <w:rPr>
          <w:lang w:val="fr-FR"/>
        </w:rPr>
      </w:pPr>
    </w:p>
    <w:p w:rsidR="00F11282" w:rsidRPr="00A5720B" w:rsidRDefault="00F11282" w:rsidP="007D7E4E">
      <w:pPr>
        <w:pStyle w:val="JhpBodyText"/>
        <w:jc w:val="both"/>
        <w:rPr>
          <w:lang w:val="fr-FR"/>
        </w:rPr>
      </w:pPr>
      <w:r w:rsidRPr="00A5720B">
        <w:rPr>
          <w:lang w:val="fr-FR"/>
        </w:rPr>
        <w:t>En partenariat avec les gouvernements nationaux, les experts en santé et les communautés locales, nous renforçons les compétences des prestataires de santé, et nous développons des systèmes qui sauvent des vies maintenant et garantissent un avenir plus sain pour les femmes et leurs familles. Notre objectif est de révolutionner les soins de santé pour les personnes les plus défavorisées de la planète.</w:t>
      </w:r>
    </w:p>
    <w:p w:rsidR="00F11282" w:rsidRPr="00A5720B" w:rsidRDefault="00F11282" w:rsidP="007D7E4E">
      <w:pPr>
        <w:pStyle w:val="JhpBodyText"/>
        <w:jc w:val="both"/>
        <w:rPr>
          <w:lang w:val="fr-FR"/>
        </w:rPr>
      </w:pPr>
    </w:p>
    <w:p w:rsidR="00F11282" w:rsidRPr="00A5720B" w:rsidRDefault="00F11282" w:rsidP="007D7E4E">
      <w:pPr>
        <w:pStyle w:val="JhpBodyText"/>
        <w:jc w:val="both"/>
        <w:rPr>
          <w:lang w:val="fr-FR"/>
        </w:rPr>
      </w:pPr>
      <w:proofErr w:type="spellStart"/>
      <w:r w:rsidRPr="00A5720B">
        <w:rPr>
          <w:lang w:val="fr-FR"/>
        </w:rPr>
        <w:t>Jhpiego</w:t>
      </w:r>
      <w:proofErr w:type="spellEnd"/>
      <w:r w:rsidRPr="00A5720B">
        <w:rPr>
          <w:lang w:val="fr-FR"/>
        </w:rPr>
        <w:t xml:space="preserve"> est affilié à Johns Hopkins </w:t>
      </w:r>
      <w:proofErr w:type="spellStart"/>
      <w:r w:rsidRPr="00A5720B">
        <w:rPr>
          <w:lang w:val="fr-FR"/>
        </w:rPr>
        <w:t>University</w:t>
      </w:r>
      <w:proofErr w:type="spellEnd"/>
      <w:r w:rsidRPr="00A5720B">
        <w:rPr>
          <w:lang w:val="fr-FR"/>
        </w:rPr>
        <w:t>.</w:t>
      </w:r>
    </w:p>
    <w:p w:rsidR="00F11282" w:rsidRPr="00A5720B" w:rsidRDefault="00F11282" w:rsidP="007D7E4E">
      <w:pPr>
        <w:pStyle w:val="JhpBodyText"/>
        <w:jc w:val="both"/>
        <w:rPr>
          <w:lang w:val="fr-FR"/>
        </w:rPr>
      </w:pPr>
    </w:p>
    <w:p w:rsidR="00F11282" w:rsidRPr="00A5720B" w:rsidRDefault="00F11282" w:rsidP="007D7E4E">
      <w:pPr>
        <w:pStyle w:val="JhpBodyText"/>
        <w:jc w:val="both"/>
      </w:pPr>
      <w:proofErr w:type="spellStart"/>
      <w:r w:rsidRPr="00A5720B">
        <w:t>Publié</w:t>
      </w:r>
      <w:proofErr w:type="spellEnd"/>
      <w:r w:rsidRPr="00A5720B">
        <w:t xml:space="preserve"> par:</w:t>
      </w:r>
    </w:p>
    <w:p w:rsidR="00F11282" w:rsidRPr="00A5720B" w:rsidRDefault="00F11282" w:rsidP="007D7E4E">
      <w:pPr>
        <w:pStyle w:val="JhpBodyText"/>
        <w:jc w:val="both"/>
      </w:pPr>
      <w:proofErr w:type="spellStart"/>
      <w:r w:rsidRPr="00A5720B">
        <w:t>Jhpiego</w:t>
      </w:r>
      <w:proofErr w:type="spellEnd"/>
      <w:r w:rsidRPr="00A5720B">
        <w:t xml:space="preserve"> Corporation</w:t>
      </w:r>
    </w:p>
    <w:p w:rsidR="00F11282" w:rsidRPr="00A5720B" w:rsidRDefault="00F11282" w:rsidP="007D7E4E">
      <w:pPr>
        <w:pStyle w:val="JhpBodyText"/>
        <w:jc w:val="both"/>
      </w:pPr>
      <w:r w:rsidRPr="00A5720B">
        <w:t>Brown’s Wharf</w:t>
      </w:r>
    </w:p>
    <w:p w:rsidR="00F11282" w:rsidRPr="00A5720B" w:rsidRDefault="00F11282" w:rsidP="007D7E4E">
      <w:pPr>
        <w:pStyle w:val="JhpBodyText"/>
        <w:jc w:val="both"/>
      </w:pPr>
      <w:r w:rsidRPr="00A5720B">
        <w:t>1615 Thames Street</w:t>
      </w:r>
    </w:p>
    <w:p w:rsidR="00F11282" w:rsidRPr="00A5720B" w:rsidRDefault="00F11282" w:rsidP="007D7E4E">
      <w:pPr>
        <w:pStyle w:val="JhpBodyText"/>
        <w:jc w:val="both"/>
      </w:pPr>
      <w:r w:rsidRPr="00A5720B">
        <w:t>Baltimore, Maryland 21231-3492, USA</w:t>
      </w:r>
    </w:p>
    <w:p w:rsidR="00F11282" w:rsidRPr="00A5720B" w:rsidRDefault="00F11282" w:rsidP="007D7E4E">
      <w:pPr>
        <w:pStyle w:val="JhpBodyText"/>
        <w:jc w:val="both"/>
      </w:pPr>
      <w:r w:rsidRPr="00A5720B">
        <w:t>www.jhpiego.org</w:t>
      </w:r>
    </w:p>
    <w:p w:rsidR="00F11282" w:rsidRPr="00A5720B" w:rsidRDefault="00F11282" w:rsidP="007D7E4E">
      <w:pPr>
        <w:pStyle w:val="JhpBodyText"/>
        <w:jc w:val="both"/>
      </w:pPr>
    </w:p>
    <w:p w:rsidR="00F11282" w:rsidRPr="00A5720B" w:rsidRDefault="00F11282" w:rsidP="007D7E4E">
      <w:pPr>
        <w:pStyle w:val="JhpBodyText"/>
        <w:jc w:val="both"/>
        <w:rPr>
          <w:lang w:val="fr-FR"/>
        </w:rPr>
      </w:pPr>
      <w:r w:rsidRPr="00A5720B">
        <w:rPr>
          <w:lang w:val="fr-FR"/>
        </w:rPr>
        <w:lastRenderedPageBreak/>
        <w:t xml:space="preserve">© </w:t>
      </w:r>
      <w:proofErr w:type="spellStart"/>
      <w:r w:rsidRPr="00A5720B">
        <w:rPr>
          <w:lang w:val="fr-FR"/>
        </w:rPr>
        <w:t>Jhpiego</w:t>
      </w:r>
      <w:proofErr w:type="spellEnd"/>
      <w:r w:rsidRPr="00A5720B">
        <w:rPr>
          <w:lang w:val="fr-FR"/>
        </w:rPr>
        <w:t xml:space="preserve"> Corporation, 2019. Tous droits réservés.</w:t>
      </w:r>
    </w:p>
    <w:p w:rsidR="00F11282" w:rsidRPr="003C5B1A" w:rsidRDefault="00F11282" w:rsidP="00D06818">
      <w:pPr>
        <w:pStyle w:val="Style1"/>
        <w:rPr>
          <w:rFonts w:asciiTheme="minorHAnsi" w:hAnsiTheme="minorHAnsi"/>
          <w:lang w:val="fr-FR"/>
        </w:rPr>
      </w:pPr>
    </w:p>
    <w:p w:rsidR="00B4464C" w:rsidRPr="00A5720B" w:rsidRDefault="00B4464C" w:rsidP="00F11282">
      <w:pPr>
        <w:pStyle w:val="JhpChapterTitlect"/>
        <w:rPr>
          <w:lang w:val="fr-FR"/>
        </w:rPr>
      </w:pPr>
      <w:bookmarkStart w:id="1" w:name="_Toc19203071"/>
      <w:r w:rsidRPr="00A5720B">
        <w:rPr>
          <w:lang w:val="fr-FR"/>
        </w:rPr>
        <w:t>Table des matières</w:t>
      </w:r>
      <w:bookmarkEnd w:id="0"/>
      <w:bookmarkEnd w:id="1"/>
      <w:r w:rsidRPr="00A5720B">
        <w:rPr>
          <w:lang w:val="fr-FR"/>
        </w:rPr>
        <w:t xml:space="preserve"> </w:t>
      </w:r>
    </w:p>
    <w:p w:rsidR="00177290" w:rsidRPr="009C19C7" w:rsidRDefault="00177290">
      <w:pPr>
        <w:pStyle w:val="TOC1"/>
        <w:tabs>
          <w:tab w:val="right" w:leader="dot" w:pos="9877"/>
        </w:tabs>
        <w:rPr>
          <w:rFonts w:eastAsiaTheme="minorEastAsia" w:cstheme="minorBidi"/>
          <w:b w:val="0"/>
          <w:bCs w:val="0"/>
          <w:i w:val="0"/>
          <w:iCs w:val="0"/>
          <w:noProof/>
          <w:sz w:val="22"/>
          <w:szCs w:val="22"/>
          <w:lang w:val="en-US"/>
        </w:rPr>
      </w:pPr>
      <w:r w:rsidRPr="009C19C7">
        <w:rPr>
          <w:rFonts w:cs="Times New Roman"/>
          <w:b w:val="0"/>
          <w:i w:val="0"/>
        </w:rPr>
        <w:fldChar w:fldCharType="begin"/>
      </w:r>
      <w:r w:rsidRPr="009C19C7">
        <w:rPr>
          <w:rFonts w:cs="Times New Roman"/>
          <w:b w:val="0"/>
          <w:i w:val="0"/>
        </w:rPr>
        <w:instrText xml:space="preserve"> TOC \h \z \t "Jhp_ChapterTitle&lt;ct&gt;,1,Style5,1" </w:instrText>
      </w:r>
      <w:r w:rsidRPr="009C19C7">
        <w:rPr>
          <w:rFonts w:cs="Times New Roman"/>
          <w:b w:val="0"/>
          <w:i w:val="0"/>
        </w:rPr>
        <w:fldChar w:fldCharType="separate"/>
      </w:r>
      <w:hyperlink w:anchor="_Toc19203071" w:history="1">
        <w:r w:rsidRPr="009C19C7">
          <w:rPr>
            <w:rStyle w:val="Hyperlink"/>
            <w:i w:val="0"/>
            <w:noProof/>
          </w:rPr>
          <w:t>Table des matières</w:t>
        </w:r>
        <w:r w:rsidRPr="009C19C7">
          <w:rPr>
            <w:i w:val="0"/>
            <w:noProof/>
            <w:webHidden/>
          </w:rPr>
          <w:tab/>
        </w:r>
        <w:r w:rsidRPr="009C19C7">
          <w:rPr>
            <w:i w:val="0"/>
            <w:noProof/>
            <w:webHidden/>
          </w:rPr>
          <w:fldChar w:fldCharType="begin"/>
        </w:r>
        <w:r w:rsidRPr="009C19C7">
          <w:rPr>
            <w:i w:val="0"/>
            <w:noProof/>
            <w:webHidden/>
          </w:rPr>
          <w:instrText xml:space="preserve"> PAGEREF _Toc19203071 \h </w:instrText>
        </w:r>
        <w:r w:rsidRPr="009C19C7">
          <w:rPr>
            <w:i w:val="0"/>
            <w:noProof/>
            <w:webHidden/>
          </w:rPr>
        </w:r>
        <w:r w:rsidRPr="009C19C7">
          <w:rPr>
            <w:i w:val="0"/>
            <w:noProof/>
            <w:webHidden/>
          </w:rPr>
          <w:fldChar w:fldCharType="separate"/>
        </w:r>
        <w:r w:rsidRPr="009C19C7">
          <w:rPr>
            <w:i w:val="0"/>
            <w:noProof/>
            <w:webHidden/>
          </w:rPr>
          <w:t>3</w:t>
        </w:r>
        <w:r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72" w:history="1">
        <w:r w:rsidR="00177290" w:rsidRPr="009C19C7">
          <w:rPr>
            <w:rStyle w:val="Hyperlink"/>
            <w:i w:val="0"/>
            <w:noProof/>
          </w:rPr>
          <w:t>Remerciements</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_Toc19203072 \h </w:instrText>
        </w:r>
        <w:r w:rsidR="00177290" w:rsidRPr="009C19C7">
          <w:rPr>
            <w:i w:val="0"/>
            <w:noProof/>
            <w:webHidden/>
          </w:rPr>
        </w:r>
        <w:r w:rsidR="00177290" w:rsidRPr="009C19C7">
          <w:rPr>
            <w:i w:val="0"/>
            <w:noProof/>
            <w:webHidden/>
          </w:rPr>
          <w:fldChar w:fldCharType="separate"/>
        </w:r>
        <w:r w:rsidR="00177290" w:rsidRPr="009C19C7">
          <w:rPr>
            <w:i w:val="0"/>
            <w:noProof/>
            <w:webHidden/>
          </w:rPr>
          <w:t>4</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73" w:history="1">
        <w:r w:rsidR="00177290" w:rsidRPr="009C19C7">
          <w:rPr>
            <w:rStyle w:val="Hyperlink"/>
            <w:i w:val="0"/>
            <w:noProof/>
          </w:rPr>
          <w:t>Liste des acronymes</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_Toc19203073 \h </w:instrText>
        </w:r>
        <w:r w:rsidR="00177290" w:rsidRPr="009C19C7">
          <w:rPr>
            <w:i w:val="0"/>
            <w:noProof/>
            <w:webHidden/>
          </w:rPr>
        </w:r>
        <w:r w:rsidR="00177290" w:rsidRPr="009C19C7">
          <w:rPr>
            <w:i w:val="0"/>
            <w:noProof/>
            <w:webHidden/>
          </w:rPr>
          <w:fldChar w:fldCharType="separate"/>
        </w:r>
        <w:r w:rsidR="00177290" w:rsidRPr="009C19C7">
          <w:rPr>
            <w:i w:val="0"/>
            <w:noProof/>
            <w:webHidden/>
          </w:rPr>
          <w:t>5</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74" w:history="1">
        <w:r w:rsidR="00177290" w:rsidRPr="009C19C7">
          <w:rPr>
            <w:rStyle w:val="Hyperlink"/>
            <w:i w:val="0"/>
            <w:noProof/>
          </w:rPr>
          <w:t>Introduction</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_Toc19203074 \h </w:instrText>
        </w:r>
        <w:r w:rsidR="00177290" w:rsidRPr="009C19C7">
          <w:rPr>
            <w:i w:val="0"/>
            <w:noProof/>
            <w:webHidden/>
          </w:rPr>
        </w:r>
        <w:r w:rsidR="00177290" w:rsidRPr="009C19C7">
          <w:rPr>
            <w:i w:val="0"/>
            <w:noProof/>
            <w:webHidden/>
          </w:rPr>
          <w:fldChar w:fldCharType="separate"/>
        </w:r>
        <w:r w:rsidR="00177290" w:rsidRPr="009C19C7">
          <w:rPr>
            <w:i w:val="0"/>
            <w:noProof/>
            <w:webHidden/>
          </w:rPr>
          <w:t>6</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75" w:history="1">
        <w:r w:rsidR="00177290" w:rsidRPr="009C19C7">
          <w:rPr>
            <w:rStyle w:val="Hyperlink"/>
            <w:i w:val="0"/>
            <w:noProof/>
          </w:rPr>
          <w:t>Méthodologie</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_Toc19203075 \h </w:instrText>
        </w:r>
        <w:r w:rsidR="00177290" w:rsidRPr="009C19C7">
          <w:rPr>
            <w:i w:val="0"/>
            <w:noProof/>
            <w:webHidden/>
          </w:rPr>
        </w:r>
        <w:r w:rsidR="00177290" w:rsidRPr="009C19C7">
          <w:rPr>
            <w:i w:val="0"/>
            <w:noProof/>
            <w:webHidden/>
          </w:rPr>
          <w:fldChar w:fldCharType="separate"/>
        </w:r>
        <w:r w:rsidR="00177290" w:rsidRPr="009C19C7">
          <w:rPr>
            <w:i w:val="0"/>
            <w:noProof/>
            <w:webHidden/>
          </w:rPr>
          <w:t>7</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76" w:history="1">
        <w:r w:rsidR="00177290" w:rsidRPr="009C19C7">
          <w:rPr>
            <w:rStyle w:val="Hyperlink"/>
            <w:i w:val="0"/>
            <w:noProof/>
          </w:rPr>
          <w:t>Principaux résultats</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_Toc19203076 \h </w:instrText>
        </w:r>
        <w:r w:rsidR="00177290" w:rsidRPr="009C19C7">
          <w:rPr>
            <w:i w:val="0"/>
            <w:noProof/>
            <w:webHidden/>
          </w:rPr>
        </w:r>
        <w:r w:rsidR="00177290" w:rsidRPr="009C19C7">
          <w:rPr>
            <w:i w:val="0"/>
            <w:noProof/>
            <w:webHidden/>
          </w:rPr>
          <w:fldChar w:fldCharType="separate"/>
        </w:r>
        <w:r w:rsidR="00177290" w:rsidRPr="009C19C7">
          <w:rPr>
            <w:i w:val="0"/>
            <w:noProof/>
            <w:webHidden/>
          </w:rPr>
          <w:t>8</w:t>
        </w:r>
        <w:r w:rsidR="00177290" w:rsidRPr="009C19C7">
          <w:rPr>
            <w:i w:val="0"/>
            <w:noProof/>
            <w:webHidden/>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77" w:history="1">
        <w:r w:rsidR="00177290" w:rsidRPr="00605150">
          <w:rPr>
            <w:rStyle w:val="Hyperlink"/>
            <w:i w:val="0"/>
            <w:noProof/>
            <w:color w:val="1F4E79" w:themeColor="accent1" w:themeShade="80"/>
          </w:rPr>
          <w:t>A.</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Situation actuelle du processus d’introduction et du passage à échelle du DMPA-SC</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_Toc19203077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8</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78" w:history="1">
        <w:r w:rsidR="00177290" w:rsidRPr="00605150">
          <w:rPr>
            <w:rStyle w:val="Hyperlink"/>
            <w:i w:val="0"/>
            <w:noProof/>
            <w:color w:val="1F4E79" w:themeColor="accent1" w:themeShade="80"/>
          </w:rPr>
          <w:t>B.</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État actuel du Niger dans le processus d’introduction et de passage à échelle du DMPA-SC</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_Toc19203078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10</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79" w:history="1">
        <w:r w:rsidR="00177290" w:rsidRPr="00605150">
          <w:rPr>
            <w:rStyle w:val="Hyperlink"/>
            <w:i w:val="0"/>
            <w:noProof/>
            <w:color w:val="1F4E79" w:themeColor="accent1" w:themeShade="80"/>
          </w:rPr>
          <w:t>C.</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Situation des politiques normes et protocoles/procédures, directives et lois en rapport avec la PF en générale et spécifiquement le DMPA-SC</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_Toc19203079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12</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80" w:history="1">
        <w:r w:rsidR="00177290" w:rsidRPr="00605150">
          <w:rPr>
            <w:rStyle w:val="Hyperlink"/>
            <w:i w:val="0"/>
            <w:noProof/>
            <w:color w:val="1F4E79" w:themeColor="accent1" w:themeShade="80"/>
          </w:rPr>
          <w:t>D.</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Situation relative à l’accès aux services</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_Toc19203080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14</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81" w:history="1">
        <w:r w:rsidR="00177290" w:rsidRPr="00605150">
          <w:rPr>
            <w:rStyle w:val="Hyperlink"/>
            <w:i w:val="0"/>
            <w:noProof/>
            <w:color w:val="1F4E79" w:themeColor="accent1" w:themeShade="80"/>
          </w:rPr>
          <w:t>E.</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Situation relative à l’offre de services</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_Toc19203081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15</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82" w:history="1">
        <w:r w:rsidR="00177290" w:rsidRPr="00605150">
          <w:rPr>
            <w:rStyle w:val="Hyperlink"/>
            <w:i w:val="0"/>
            <w:noProof/>
            <w:color w:val="1F4E79" w:themeColor="accent1" w:themeShade="80"/>
          </w:rPr>
          <w:t>F.</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Suivi et évaluation du plan d’introduction/mise à échelle</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_Toc19203082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16</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83" w:history="1">
        <w:r w:rsidR="00177290" w:rsidRPr="00605150">
          <w:rPr>
            <w:rStyle w:val="Hyperlink"/>
            <w:i w:val="0"/>
            <w:noProof/>
            <w:color w:val="1F4E79" w:themeColor="accent1" w:themeShade="80"/>
          </w:rPr>
          <w:t>G.</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Logistique et approvisionnement en produits</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_Toc19203083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16</w:t>
        </w:r>
        <w:r w:rsidR="00177290" w:rsidRPr="00605150">
          <w:rPr>
            <w:i w:val="0"/>
            <w:noProof/>
            <w:webHidden/>
            <w:color w:val="1F4E79" w:themeColor="accent1" w:themeShade="80"/>
          </w:rPr>
          <w:fldChar w:fldCharType="end"/>
        </w:r>
      </w:hyperlink>
    </w:p>
    <w:p w:rsidR="00177290" w:rsidRPr="00605150" w:rsidRDefault="000B3604">
      <w:pPr>
        <w:pStyle w:val="TOC1"/>
        <w:tabs>
          <w:tab w:val="left" w:pos="440"/>
          <w:tab w:val="right" w:leader="dot" w:pos="9877"/>
        </w:tabs>
        <w:rPr>
          <w:rFonts w:eastAsiaTheme="minorEastAsia" w:cstheme="minorBidi"/>
          <w:bCs w:val="0"/>
          <w:i w:val="0"/>
          <w:iCs w:val="0"/>
          <w:noProof/>
          <w:color w:val="1F4E79" w:themeColor="accent1" w:themeShade="80"/>
          <w:sz w:val="22"/>
          <w:szCs w:val="22"/>
          <w:lang w:val="en-US"/>
        </w:rPr>
      </w:pPr>
      <w:hyperlink w:anchor="_Toc19203084" w:history="1">
        <w:r w:rsidR="00177290" w:rsidRPr="00605150">
          <w:rPr>
            <w:rStyle w:val="Hyperlink"/>
            <w:i w:val="0"/>
            <w:noProof/>
            <w:color w:val="1F4E79" w:themeColor="accent1" w:themeShade="80"/>
          </w:rPr>
          <w:t>H.</w:t>
        </w:r>
        <w:r w:rsidR="00177290" w:rsidRPr="00605150">
          <w:rPr>
            <w:rFonts w:eastAsiaTheme="minorEastAsia" w:cstheme="minorBidi"/>
            <w:bCs w:val="0"/>
            <w:i w:val="0"/>
            <w:iCs w:val="0"/>
            <w:noProof/>
            <w:color w:val="1F4E79" w:themeColor="accent1" w:themeShade="80"/>
            <w:sz w:val="22"/>
            <w:szCs w:val="22"/>
            <w:lang w:val="en-US"/>
          </w:rPr>
          <w:tab/>
        </w:r>
        <w:r w:rsidR="00177290" w:rsidRPr="00605150">
          <w:rPr>
            <w:rStyle w:val="Hyperlink"/>
            <w:i w:val="0"/>
            <w:noProof/>
            <w:color w:val="1F4E79" w:themeColor="accent1" w:themeShade="80"/>
          </w:rPr>
          <w:t>Rôles des parties prenantes et coordination des acteurs</w:t>
        </w:r>
        <w:r w:rsidR="00177290" w:rsidRPr="00605150">
          <w:rPr>
            <w:i w:val="0"/>
            <w:noProof/>
            <w:webHidden/>
            <w:color w:val="1F4E79" w:themeColor="accent1" w:themeShade="80"/>
          </w:rPr>
          <w:tab/>
        </w:r>
        <w:r w:rsidR="00177290" w:rsidRPr="00605150">
          <w:rPr>
            <w:i w:val="0"/>
            <w:noProof/>
            <w:webHidden/>
            <w:color w:val="1F4E79" w:themeColor="accent1" w:themeShade="80"/>
          </w:rPr>
          <w:fldChar w:fldCharType="begin"/>
        </w:r>
        <w:r w:rsidR="00177290" w:rsidRPr="00605150">
          <w:rPr>
            <w:i w:val="0"/>
            <w:noProof/>
            <w:webHidden/>
            <w:color w:val="1F4E79" w:themeColor="accent1" w:themeShade="80"/>
          </w:rPr>
          <w:instrText xml:space="preserve"> PAGEREF _Toc19203084 \h </w:instrText>
        </w:r>
        <w:r w:rsidR="00177290" w:rsidRPr="00605150">
          <w:rPr>
            <w:i w:val="0"/>
            <w:noProof/>
            <w:webHidden/>
            <w:color w:val="1F4E79" w:themeColor="accent1" w:themeShade="80"/>
          </w:rPr>
        </w:r>
        <w:r w:rsidR="00177290" w:rsidRPr="00605150">
          <w:rPr>
            <w:i w:val="0"/>
            <w:noProof/>
            <w:webHidden/>
            <w:color w:val="1F4E79" w:themeColor="accent1" w:themeShade="80"/>
          </w:rPr>
          <w:fldChar w:fldCharType="separate"/>
        </w:r>
        <w:r w:rsidR="00177290" w:rsidRPr="00605150">
          <w:rPr>
            <w:i w:val="0"/>
            <w:noProof/>
            <w:webHidden/>
            <w:color w:val="1F4E79" w:themeColor="accent1" w:themeShade="80"/>
          </w:rPr>
          <w:t>17</w:t>
        </w:r>
        <w:r w:rsidR="00177290" w:rsidRPr="00605150">
          <w:rPr>
            <w:i w:val="0"/>
            <w:noProof/>
            <w:webHidden/>
            <w:color w:val="1F4E79" w:themeColor="accent1" w:themeShade="80"/>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85" w:history="1">
        <w:r w:rsidR="00177290" w:rsidRPr="009C19C7">
          <w:rPr>
            <w:rStyle w:val="Hyperlink"/>
            <w:i w:val="0"/>
            <w:noProof/>
          </w:rPr>
          <w:t>Défis en matière d’adoption du DMPA-SC au Niger</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_Toc19203085 \h </w:instrText>
        </w:r>
        <w:r w:rsidR="00177290" w:rsidRPr="009C19C7">
          <w:rPr>
            <w:i w:val="0"/>
            <w:noProof/>
            <w:webHidden/>
          </w:rPr>
        </w:r>
        <w:r w:rsidR="00177290" w:rsidRPr="009C19C7">
          <w:rPr>
            <w:i w:val="0"/>
            <w:noProof/>
            <w:webHidden/>
          </w:rPr>
          <w:fldChar w:fldCharType="separate"/>
        </w:r>
        <w:r w:rsidR="00177290" w:rsidRPr="009C19C7">
          <w:rPr>
            <w:i w:val="0"/>
            <w:noProof/>
            <w:webHidden/>
          </w:rPr>
          <w:t>18</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86" w:history="1">
        <w:r w:rsidR="00177290" w:rsidRPr="009C19C7">
          <w:rPr>
            <w:rStyle w:val="Hyperlink"/>
            <w:i w:val="0"/>
            <w:noProof/>
          </w:rPr>
          <w:t>Recommandations et actions prioritaires pour le Niger</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_Toc19203086 \h </w:instrText>
        </w:r>
        <w:r w:rsidR="00177290" w:rsidRPr="009C19C7">
          <w:rPr>
            <w:i w:val="0"/>
            <w:noProof/>
            <w:webHidden/>
          </w:rPr>
        </w:r>
        <w:r w:rsidR="00177290" w:rsidRPr="009C19C7">
          <w:rPr>
            <w:i w:val="0"/>
            <w:noProof/>
            <w:webHidden/>
          </w:rPr>
          <w:fldChar w:fldCharType="separate"/>
        </w:r>
        <w:r w:rsidR="00177290" w:rsidRPr="009C19C7">
          <w:rPr>
            <w:i w:val="0"/>
            <w:noProof/>
            <w:webHidden/>
          </w:rPr>
          <w:t>19</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87" w:history="1">
        <w:r w:rsidR="00177290" w:rsidRPr="009C19C7">
          <w:rPr>
            <w:rStyle w:val="Hyperlink"/>
            <w:i w:val="0"/>
            <w:noProof/>
          </w:rPr>
          <w:t>Conclusion</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_Toc19203087 \h </w:instrText>
        </w:r>
        <w:r w:rsidR="00177290" w:rsidRPr="009C19C7">
          <w:rPr>
            <w:i w:val="0"/>
            <w:noProof/>
            <w:webHidden/>
          </w:rPr>
        </w:r>
        <w:r w:rsidR="00177290" w:rsidRPr="009C19C7">
          <w:rPr>
            <w:i w:val="0"/>
            <w:noProof/>
            <w:webHidden/>
          </w:rPr>
          <w:fldChar w:fldCharType="separate"/>
        </w:r>
        <w:r w:rsidR="00177290" w:rsidRPr="009C19C7">
          <w:rPr>
            <w:i w:val="0"/>
            <w:noProof/>
            <w:webHidden/>
          </w:rPr>
          <w:t>20</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88" w:history="1">
        <w:r w:rsidR="00177290" w:rsidRPr="009C19C7">
          <w:rPr>
            <w:rStyle w:val="Hyperlink"/>
            <w:i w:val="0"/>
            <w:noProof/>
          </w:rPr>
          <w:t>Bibliographie</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_Toc19203088 \h </w:instrText>
        </w:r>
        <w:r w:rsidR="00177290" w:rsidRPr="009C19C7">
          <w:rPr>
            <w:i w:val="0"/>
            <w:noProof/>
            <w:webHidden/>
          </w:rPr>
        </w:r>
        <w:r w:rsidR="00177290" w:rsidRPr="009C19C7">
          <w:rPr>
            <w:i w:val="0"/>
            <w:noProof/>
            <w:webHidden/>
          </w:rPr>
          <w:fldChar w:fldCharType="separate"/>
        </w:r>
        <w:r w:rsidR="00177290" w:rsidRPr="009C19C7">
          <w:rPr>
            <w:i w:val="0"/>
            <w:noProof/>
            <w:webHidden/>
          </w:rPr>
          <w:t>21</w:t>
        </w:r>
        <w:r w:rsidR="00177290" w:rsidRPr="009C19C7">
          <w:rPr>
            <w:i w:val="0"/>
            <w:noProof/>
            <w:webHidden/>
          </w:rPr>
          <w:fldChar w:fldCharType="end"/>
        </w:r>
      </w:hyperlink>
    </w:p>
    <w:p w:rsidR="00177290" w:rsidRPr="009C19C7" w:rsidRDefault="000B3604">
      <w:pPr>
        <w:pStyle w:val="TOC1"/>
        <w:tabs>
          <w:tab w:val="right" w:leader="dot" w:pos="9877"/>
        </w:tabs>
        <w:rPr>
          <w:rFonts w:eastAsiaTheme="minorEastAsia" w:cstheme="minorBidi"/>
          <w:b w:val="0"/>
          <w:bCs w:val="0"/>
          <w:i w:val="0"/>
          <w:iCs w:val="0"/>
          <w:noProof/>
          <w:sz w:val="22"/>
          <w:szCs w:val="22"/>
          <w:lang w:val="en-US"/>
        </w:rPr>
      </w:pPr>
      <w:hyperlink w:anchor="_Toc19203089" w:history="1">
        <w:r w:rsidR="00177290" w:rsidRPr="009C19C7">
          <w:rPr>
            <w:rStyle w:val="Hyperlink"/>
            <w:i w:val="0"/>
            <w:noProof/>
          </w:rPr>
          <w:t>Annexe : Outils d’analyse et d’identification des opportunités d’actions au Niger (Scorecards)</w:t>
        </w:r>
        <w:r w:rsidR="00177290" w:rsidRPr="009C19C7">
          <w:rPr>
            <w:i w:val="0"/>
            <w:noProof/>
            <w:webHidden/>
          </w:rPr>
          <w:tab/>
        </w:r>
        <w:r w:rsidR="00177290" w:rsidRPr="009C19C7">
          <w:rPr>
            <w:i w:val="0"/>
            <w:noProof/>
            <w:webHidden/>
          </w:rPr>
          <w:fldChar w:fldCharType="begin"/>
        </w:r>
        <w:r w:rsidR="00177290" w:rsidRPr="009C19C7">
          <w:rPr>
            <w:i w:val="0"/>
            <w:noProof/>
            <w:webHidden/>
          </w:rPr>
          <w:instrText xml:space="preserve"> PAGEREF _Toc19203089 \h </w:instrText>
        </w:r>
        <w:r w:rsidR="00177290" w:rsidRPr="009C19C7">
          <w:rPr>
            <w:i w:val="0"/>
            <w:noProof/>
            <w:webHidden/>
          </w:rPr>
        </w:r>
        <w:r w:rsidR="00177290" w:rsidRPr="009C19C7">
          <w:rPr>
            <w:i w:val="0"/>
            <w:noProof/>
            <w:webHidden/>
          </w:rPr>
          <w:fldChar w:fldCharType="separate"/>
        </w:r>
        <w:r w:rsidR="00177290" w:rsidRPr="009C19C7">
          <w:rPr>
            <w:i w:val="0"/>
            <w:noProof/>
            <w:webHidden/>
          </w:rPr>
          <w:t>22</w:t>
        </w:r>
        <w:r w:rsidR="00177290" w:rsidRPr="009C19C7">
          <w:rPr>
            <w:i w:val="0"/>
            <w:noProof/>
            <w:webHidden/>
          </w:rPr>
          <w:fldChar w:fldCharType="end"/>
        </w:r>
      </w:hyperlink>
    </w:p>
    <w:p w:rsidR="00B4464C" w:rsidRPr="00FC1C39" w:rsidRDefault="00177290" w:rsidP="00F04979">
      <w:pPr>
        <w:rPr>
          <w:rFonts w:cs="Times New Roman"/>
          <w:b/>
        </w:rPr>
      </w:pPr>
      <w:r w:rsidRPr="009C19C7">
        <w:rPr>
          <w:rFonts w:eastAsia="Calibri" w:cs="Times New Roman"/>
          <w:b/>
          <w:sz w:val="24"/>
          <w:szCs w:val="24"/>
          <w:lang w:val="fr-FR"/>
        </w:rPr>
        <w:fldChar w:fldCharType="end"/>
      </w:r>
    </w:p>
    <w:p w:rsidR="00B4464C" w:rsidRPr="00FC1C39" w:rsidRDefault="00B4464C" w:rsidP="00B4464C">
      <w:pPr>
        <w:rPr>
          <w:rFonts w:cs="Times New Roman"/>
        </w:rPr>
      </w:pPr>
    </w:p>
    <w:p w:rsidR="00B4464C" w:rsidRPr="00FC1C39" w:rsidRDefault="00B4464C" w:rsidP="00B4464C">
      <w:pPr>
        <w:rPr>
          <w:rFonts w:cs="Times New Roman"/>
        </w:rPr>
      </w:pPr>
    </w:p>
    <w:p w:rsidR="00B4464C" w:rsidRPr="00FC1C39" w:rsidRDefault="00B4464C" w:rsidP="00B4464C">
      <w:pPr>
        <w:rPr>
          <w:rFonts w:cs="Times New Roman"/>
        </w:rPr>
      </w:pPr>
    </w:p>
    <w:p w:rsidR="00A5720B" w:rsidRPr="00FC1C39" w:rsidRDefault="00A5720B" w:rsidP="00B4464C">
      <w:pPr>
        <w:rPr>
          <w:rFonts w:cs="Times New Roman"/>
        </w:rPr>
      </w:pPr>
    </w:p>
    <w:p w:rsidR="00B4464C" w:rsidRPr="00FC1C39" w:rsidRDefault="00B4464C" w:rsidP="00B4464C">
      <w:pPr>
        <w:rPr>
          <w:rFonts w:cs="Times New Roman"/>
        </w:rPr>
      </w:pPr>
    </w:p>
    <w:p w:rsidR="00FC1C39" w:rsidRPr="007E0B3C" w:rsidRDefault="00FC1C39" w:rsidP="00F11282">
      <w:pPr>
        <w:pStyle w:val="JhpChapterTitlect"/>
        <w:rPr>
          <w:lang w:val="fr-FR"/>
        </w:rPr>
      </w:pPr>
      <w:bookmarkStart w:id="2" w:name="_Toc3996449"/>
      <w:bookmarkStart w:id="3" w:name="_Toc19105271"/>
      <w:r w:rsidRPr="00FC1C39">
        <w:br w:type="page"/>
      </w:r>
    </w:p>
    <w:p w:rsidR="00B4464C" w:rsidRPr="00F04979" w:rsidRDefault="00B4464C" w:rsidP="00F04979">
      <w:pPr>
        <w:pStyle w:val="JhpChapterTitlect"/>
        <w:rPr>
          <w:bCs/>
          <w:iCs/>
          <w:lang w:val="fr-FR"/>
        </w:rPr>
      </w:pPr>
      <w:bookmarkStart w:id="4" w:name="_Toc19203072"/>
      <w:r w:rsidRPr="00F04979">
        <w:rPr>
          <w:bCs/>
          <w:iCs/>
          <w:lang w:val="fr-FR"/>
        </w:rPr>
        <w:lastRenderedPageBreak/>
        <w:t>Remerciement</w:t>
      </w:r>
      <w:bookmarkEnd w:id="2"/>
      <w:r w:rsidRPr="00F04979">
        <w:rPr>
          <w:bCs/>
          <w:iCs/>
          <w:lang w:val="fr-FR"/>
        </w:rPr>
        <w:t>s</w:t>
      </w:r>
      <w:bookmarkEnd w:id="3"/>
      <w:bookmarkEnd w:id="4"/>
      <w:r w:rsidRPr="00F04979">
        <w:rPr>
          <w:bCs/>
          <w:iCs/>
          <w:lang w:val="fr-FR"/>
        </w:rPr>
        <w:t> </w:t>
      </w:r>
    </w:p>
    <w:p w:rsidR="008633DA" w:rsidRPr="00A5720B" w:rsidRDefault="008633DA" w:rsidP="00921787">
      <w:pPr>
        <w:jc w:val="both"/>
        <w:rPr>
          <w:rFonts w:cs="Times New Roman"/>
          <w:sz w:val="24"/>
          <w:szCs w:val="24"/>
          <w:lang w:val="fr-FR"/>
        </w:rPr>
      </w:pPr>
    </w:p>
    <w:p w:rsidR="00B4464C" w:rsidRPr="00A5720B" w:rsidRDefault="00F11282" w:rsidP="00A5720B">
      <w:pPr>
        <w:jc w:val="both"/>
        <w:rPr>
          <w:rFonts w:cs="Times New Roman"/>
          <w:lang w:val="fr-FR"/>
        </w:rPr>
      </w:pPr>
      <w:r w:rsidRPr="00A5720B">
        <w:rPr>
          <w:rFonts w:cs="Times New Roman"/>
          <w:lang w:val="fr-FR"/>
        </w:rPr>
        <w:t>Le Ministère de la santé publique à travers la direction Générale de la Santé de la Reproduction remercie l</w:t>
      </w:r>
      <w:r w:rsidR="00B4464C" w:rsidRPr="00A5720B">
        <w:rPr>
          <w:rFonts w:cs="Times New Roman"/>
          <w:lang w:val="fr-FR"/>
        </w:rPr>
        <w:t xml:space="preserve">’ensemble des partenaires </w:t>
      </w:r>
      <w:r w:rsidRPr="00A5720B">
        <w:rPr>
          <w:rFonts w:cs="Times New Roman"/>
          <w:lang w:val="fr-FR"/>
        </w:rPr>
        <w:t xml:space="preserve">technique et financier ; les organisations de la société civile et toutes les bonnes volontés </w:t>
      </w:r>
      <w:r w:rsidR="00B4464C" w:rsidRPr="00A5720B">
        <w:rPr>
          <w:rFonts w:cs="Times New Roman"/>
          <w:lang w:val="fr-FR"/>
        </w:rPr>
        <w:t xml:space="preserve">qui ont contribué </w:t>
      </w:r>
      <w:r w:rsidRPr="00A5720B">
        <w:rPr>
          <w:rFonts w:cs="Times New Roman"/>
          <w:lang w:val="fr-FR"/>
        </w:rPr>
        <w:t>de près ou de loin à</w:t>
      </w:r>
      <w:r w:rsidR="00B4464C" w:rsidRPr="00A5720B">
        <w:rPr>
          <w:rFonts w:cs="Times New Roman"/>
          <w:lang w:val="fr-FR"/>
        </w:rPr>
        <w:t xml:space="preserve"> la collecte de données et l’élaboration du rapport de l</w:t>
      </w:r>
      <w:r w:rsidRPr="00A5720B">
        <w:rPr>
          <w:rFonts w:cs="Times New Roman"/>
          <w:lang w:val="fr-FR"/>
        </w:rPr>
        <w:t>a présente a</w:t>
      </w:r>
      <w:r w:rsidR="00B4464C" w:rsidRPr="00A5720B">
        <w:rPr>
          <w:rFonts w:cs="Times New Roman"/>
          <w:lang w:val="fr-FR"/>
        </w:rPr>
        <w:t xml:space="preserve">nalyse situationnelle </w:t>
      </w:r>
      <w:r w:rsidRPr="00A5720B">
        <w:rPr>
          <w:rFonts w:cs="Times New Roman"/>
          <w:lang w:val="fr-FR"/>
        </w:rPr>
        <w:t>rapide du processus de mise en œuvre du</w:t>
      </w:r>
      <w:r w:rsidR="00B4464C" w:rsidRPr="00A5720B">
        <w:rPr>
          <w:rFonts w:cs="Times New Roman"/>
          <w:lang w:val="fr-FR"/>
        </w:rPr>
        <w:t xml:space="preserve"> DMPA-SC au Niger</w:t>
      </w:r>
      <w:r w:rsidR="00A5720B" w:rsidRPr="00A5720B">
        <w:rPr>
          <w:rFonts w:cs="Times New Roman"/>
          <w:lang w:val="fr-FR"/>
        </w:rPr>
        <w:t>. L</w:t>
      </w:r>
      <w:r w:rsidR="00B4464C" w:rsidRPr="00A5720B">
        <w:rPr>
          <w:rFonts w:cs="Times New Roman"/>
          <w:lang w:val="fr-FR"/>
        </w:rPr>
        <w:t>a</w:t>
      </w:r>
      <w:r w:rsidR="00A5720B" w:rsidRPr="00A5720B">
        <w:rPr>
          <w:rFonts w:cs="Times New Roman"/>
          <w:lang w:val="fr-FR"/>
        </w:rPr>
        <w:t xml:space="preserve"> Direction de la santé de la mère et de l’enfant, et la</w:t>
      </w:r>
      <w:r w:rsidR="00B4464C" w:rsidRPr="00A5720B">
        <w:rPr>
          <w:rFonts w:cs="Times New Roman"/>
          <w:lang w:val="fr-FR"/>
        </w:rPr>
        <w:t xml:space="preserve"> direction de la planification familiale présente</w:t>
      </w:r>
      <w:r w:rsidR="00A5720B" w:rsidRPr="00A5720B">
        <w:rPr>
          <w:rFonts w:cs="Times New Roman"/>
          <w:lang w:val="fr-FR"/>
        </w:rPr>
        <w:t>nt</w:t>
      </w:r>
      <w:r w:rsidR="00B4464C" w:rsidRPr="00A5720B">
        <w:rPr>
          <w:rFonts w:cs="Times New Roman"/>
          <w:lang w:val="fr-FR"/>
        </w:rPr>
        <w:t xml:space="preserve"> sa reconnaissance pour leur disponibil</w:t>
      </w:r>
      <w:r w:rsidR="00A5720B" w:rsidRPr="00A5720B">
        <w:rPr>
          <w:rFonts w:cs="Times New Roman"/>
          <w:lang w:val="fr-FR"/>
        </w:rPr>
        <w:t>ité et franche collaboration.</w:t>
      </w: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bookmarkStart w:id="5" w:name="_Toc3996450"/>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A5720B" w:rsidRDefault="00B4464C" w:rsidP="00B4464C">
      <w:pPr>
        <w:rPr>
          <w:rFonts w:cs="Times New Roman"/>
          <w:lang w:val="fr-FR"/>
        </w:rPr>
      </w:pPr>
    </w:p>
    <w:p w:rsidR="00B4464C" w:rsidRPr="00BB3350" w:rsidRDefault="00B4464C" w:rsidP="00B4464C">
      <w:pPr>
        <w:rPr>
          <w:rStyle w:val="Strong"/>
        </w:rPr>
      </w:pPr>
    </w:p>
    <w:p w:rsidR="00B4464C" w:rsidRPr="00F04979" w:rsidRDefault="00B4464C" w:rsidP="00F04979">
      <w:pPr>
        <w:pStyle w:val="JhpChapterTitlect"/>
        <w:rPr>
          <w:lang w:val="fr-FR"/>
        </w:rPr>
      </w:pPr>
      <w:bookmarkStart w:id="6" w:name="_Toc19105272"/>
      <w:bookmarkStart w:id="7" w:name="_Toc19203073"/>
      <w:r w:rsidRPr="00F04979">
        <w:rPr>
          <w:lang w:val="fr-FR"/>
        </w:rPr>
        <w:t>Liste des acronymes</w:t>
      </w:r>
      <w:bookmarkEnd w:id="5"/>
      <w:bookmarkEnd w:id="6"/>
      <w:bookmarkEnd w:id="7"/>
      <w:r w:rsidRPr="00F04979">
        <w:rPr>
          <w:lang w:val="fr-FR"/>
        </w:rPr>
        <w:t xml:space="preserve"> </w:t>
      </w:r>
    </w:p>
    <w:tbl>
      <w:tblPr>
        <w:tblpPr w:leftFromText="180" w:rightFromText="180" w:vertAnchor="text" w:horzAnchor="margin" w:tblpY="64"/>
        <w:tblW w:w="10006" w:type="dxa"/>
        <w:tblLook w:val="04A0" w:firstRow="1" w:lastRow="0" w:firstColumn="1" w:lastColumn="0" w:noHBand="0" w:noVBand="1"/>
      </w:tblPr>
      <w:tblGrid>
        <w:gridCol w:w="1735"/>
        <w:gridCol w:w="8271"/>
      </w:tblGrid>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AFD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Agence française pour le Développement </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ASC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Agent de Santé Communautaire</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BM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Banque Mondiale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CSME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Centre de la Santé de la Mère et de l’Enfant </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CS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Case de Santé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DMPA-SC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Acétate de </w:t>
            </w:r>
            <w:proofErr w:type="spellStart"/>
            <w:r w:rsidRPr="00A5720B">
              <w:rPr>
                <w:rFonts w:cs="Times New Roman"/>
                <w:lang w:val="fr-FR"/>
              </w:rPr>
              <w:t>Médroxyprogestérone</w:t>
            </w:r>
            <w:proofErr w:type="spellEnd"/>
            <w:r w:rsidRPr="00A5720B">
              <w:rPr>
                <w:rFonts w:cs="Times New Roman"/>
                <w:lang w:val="fr-FR"/>
              </w:rPr>
              <w:t xml:space="preserve"> en Sous-Cutané</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DMPA-IM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Acétate de </w:t>
            </w:r>
            <w:proofErr w:type="spellStart"/>
            <w:r w:rsidRPr="00A5720B">
              <w:rPr>
                <w:rFonts w:cs="Times New Roman"/>
                <w:lang w:val="fr-FR"/>
              </w:rPr>
              <w:t>médroxyprogestérone</w:t>
            </w:r>
            <w:proofErr w:type="spellEnd"/>
            <w:r w:rsidRPr="00A5720B">
              <w:rPr>
                <w:rFonts w:cs="Times New Roman"/>
                <w:lang w:val="fr-FR"/>
              </w:rPr>
              <w:t xml:space="preserve"> en intra musculaire</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DS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District Sanitaire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DSME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Direction de la Santé de la Mère et de l’Enfant</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FBMG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Fondation Bill et Melinda Gates</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FC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Fonds Commun</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MSI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Marie Stoppes International </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PF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Planification Familiale</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PO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Partenariat de Ouagadougou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PPS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Point de Prestation de Service </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PSI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Population Service International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ONPPC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Office National des Produits Pharmaceutiques et Chimiques </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OOAS : </w:t>
            </w:r>
          </w:p>
          <w:p w:rsidR="0079228E" w:rsidRPr="00A5720B" w:rsidRDefault="0079228E" w:rsidP="0079228E">
            <w:pPr>
              <w:spacing w:line="240" w:lineRule="auto"/>
              <w:rPr>
                <w:rFonts w:cs="Times New Roman"/>
                <w:lang w:val="fr-FR"/>
              </w:rPr>
            </w:pPr>
            <w:r w:rsidRPr="00A5720B">
              <w:rPr>
                <w:rFonts w:cs="Times New Roman"/>
                <w:lang w:val="fr-FR"/>
              </w:rPr>
              <w:t xml:space="preserve">PAGE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Organisation Ouest Africaine de la Santé </w:t>
            </w:r>
          </w:p>
          <w:p w:rsidR="0079228E" w:rsidRPr="00A5720B" w:rsidRDefault="0079228E" w:rsidP="0079228E">
            <w:pPr>
              <w:spacing w:line="240" w:lineRule="auto"/>
              <w:rPr>
                <w:rFonts w:cs="Times New Roman"/>
              </w:rPr>
            </w:pPr>
            <w:r w:rsidRPr="00A5720B">
              <w:rPr>
                <w:rFonts w:cs="Times New Roman"/>
                <w:lang w:val="fr-FR"/>
              </w:rPr>
              <w:t>Passage à grande échelle</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SPSR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Sécurisation des Produits de la Santé de la Reproduction </w:t>
            </w:r>
          </w:p>
        </w:tc>
      </w:tr>
      <w:tr w:rsidR="0079228E" w:rsidRPr="00A5720B"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SR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Santé de la Reproduction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r w:rsidRPr="00A5720B">
              <w:rPr>
                <w:rFonts w:cs="Times New Roman"/>
                <w:lang w:val="fr-FR"/>
              </w:rPr>
              <w:t xml:space="preserve">RGPH :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 xml:space="preserve">Recensement Général de la Population et de l’Habitat </w:t>
            </w:r>
          </w:p>
        </w:tc>
      </w:tr>
      <w:tr w:rsidR="0079228E" w:rsidRPr="00FC1C39" w:rsidTr="0079228E">
        <w:trPr>
          <w:trHeight w:val="306"/>
        </w:trPr>
        <w:tc>
          <w:tcPr>
            <w:tcW w:w="1735"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rPr>
            </w:pPr>
            <w:proofErr w:type="spellStart"/>
            <w:r w:rsidRPr="00A5720B">
              <w:rPr>
                <w:rFonts w:cs="Times New Roman"/>
                <w:lang w:val="fr-FR"/>
              </w:rPr>
              <w:t>TPCm</w:t>
            </w:r>
            <w:proofErr w:type="spellEnd"/>
            <w:r w:rsidRPr="00A5720B">
              <w:rPr>
                <w:rFonts w:cs="Times New Roman"/>
                <w:lang w:val="fr-FR"/>
              </w:rPr>
              <w:t xml:space="preserve">: </w:t>
            </w:r>
          </w:p>
        </w:tc>
        <w:tc>
          <w:tcPr>
            <w:tcW w:w="8271" w:type="dxa"/>
            <w:tcBorders>
              <w:top w:val="nil"/>
              <w:left w:val="nil"/>
              <w:bottom w:val="nil"/>
              <w:right w:val="nil"/>
            </w:tcBorders>
            <w:shd w:val="clear" w:color="auto" w:fill="auto"/>
            <w:noWrap/>
            <w:vAlign w:val="center"/>
            <w:hideMark/>
          </w:tcPr>
          <w:p w:rsidR="0079228E" w:rsidRPr="00A5720B" w:rsidRDefault="0079228E" w:rsidP="0079228E">
            <w:pPr>
              <w:spacing w:line="240" w:lineRule="auto"/>
              <w:rPr>
                <w:rFonts w:cs="Times New Roman"/>
                <w:lang w:val="fr-FR"/>
              </w:rPr>
            </w:pPr>
            <w:r w:rsidRPr="00A5720B">
              <w:rPr>
                <w:rFonts w:cs="Times New Roman"/>
                <w:lang w:val="fr-FR"/>
              </w:rPr>
              <w:t>Taux de Prévalence Contraceptive moderne</w:t>
            </w:r>
          </w:p>
        </w:tc>
      </w:tr>
    </w:tbl>
    <w:p w:rsidR="00B4464C" w:rsidRPr="00A5720B" w:rsidRDefault="00B4464C" w:rsidP="00921787">
      <w:pPr>
        <w:rPr>
          <w:rFonts w:cs="Times New Roman"/>
          <w:b/>
          <w:sz w:val="24"/>
          <w:szCs w:val="24"/>
          <w:lang w:val="fr-FR"/>
        </w:rPr>
      </w:pPr>
    </w:p>
    <w:p w:rsidR="00B4464C" w:rsidRPr="00A5720B" w:rsidRDefault="00B4464C" w:rsidP="00B4464C">
      <w:pPr>
        <w:rPr>
          <w:rFonts w:cs="Times New Roman"/>
          <w:lang w:val="fr-FR"/>
        </w:rPr>
      </w:pPr>
    </w:p>
    <w:p w:rsidR="00B4464C" w:rsidRPr="00F04979" w:rsidRDefault="00B4464C" w:rsidP="00F04979">
      <w:pPr>
        <w:pStyle w:val="JhpChapterTitlect"/>
        <w:rPr>
          <w:bCs/>
          <w:iCs/>
          <w:lang w:val="fr-FR"/>
        </w:rPr>
      </w:pPr>
      <w:bookmarkStart w:id="8" w:name="_Toc19105203"/>
      <w:bookmarkStart w:id="9" w:name="_Toc19105220"/>
      <w:bookmarkStart w:id="10" w:name="_Toc19105237"/>
      <w:bookmarkStart w:id="11" w:name="_Toc19105256"/>
      <w:bookmarkStart w:id="12" w:name="_Toc19105273"/>
      <w:bookmarkStart w:id="13" w:name="_Toc19105290"/>
      <w:bookmarkStart w:id="14" w:name="_Toc19105310"/>
      <w:bookmarkStart w:id="15" w:name="_Toc19105442"/>
      <w:bookmarkStart w:id="16" w:name="_Toc19105665"/>
      <w:bookmarkStart w:id="17" w:name="_Toc19106042"/>
      <w:bookmarkStart w:id="18" w:name="_Toc19106298"/>
      <w:bookmarkStart w:id="19" w:name="_Toc19106474"/>
      <w:bookmarkStart w:id="20" w:name="_Toc3996452"/>
      <w:bookmarkStart w:id="21" w:name="_Toc19105274"/>
      <w:bookmarkStart w:id="22" w:name="_Toc19203074"/>
      <w:bookmarkEnd w:id="8"/>
      <w:bookmarkEnd w:id="9"/>
      <w:bookmarkEnd w:id="10"/>
      <w:bookmarkEnd w:id="11"/>
      <w:bookmarkEnd w:id="12"/>
      <w:bookmarkEnd w:id="13"/>
      <w:bookmarkEnd w:id="14"/>
      <w:bookmarkEnd w:id="15"/>
      <w:bookmarkEnd w:id="16"/>
      <w:bookmarkEnd w:id="17"/>
      <w:bookmarkEnd w:id="18"/>
      <w:bookmarkEnd w:id="19"/>
      <w:r w:rsidRPr="00F04979">
        <w:rPr>
          <w:bCs/>
          <w:iCs/>
          <w:lang w:val="fr-FR"/>
        </w:rPr>
        <w:lastRenderedPageBreak/>
        <w:t>Introduction</w:t>
      </w:r>
      <w:bookmarkStart w:id="23" w:name="_Toc3996453"/>
      <w:bookmarkEnd w:id="20"/>
      <w:bookmarkEnd w:id="21"/>
      <w:bookmarkEnd w:id="22"/>
    </w:p>
    <w:p w:rsidR="002C4B71" w:rsidRPr="003C5B1A" w:rsidRDefault="002C4B71" w:rsidP="00D06818">
      <w:pPr>
        <w:pStyle w:val="Style1"/>
        <w:tabs>
          <w:tab w:val="left" w:pos="270"/>
        </w:tabs>
        <w:spacing w:before="0"/>
        <w:rPr>
          <w:rFonts w:asciiTheme="minorHAnsi" w:hAnsiTheme="minorHAnsi"/>
          <w:sz w:val="2"/>
          <w:lang w:val="fr-FR"/>
        </w:rPr>
      </w:pPr>
    </w:p>
    <w:p w:rsidR="00B4464C" w:rsidRPr="00A5720B" w:rsidRDefault="00921787" w:rsidP="00921787">
      <w:pPr>
        <w:jc w:val="both"/>
        <w:rPr>
          <w:rFonts w:cs="Times New Roman"/>
          <w:szCs w:val="24"/>
          <w:lang w:val="fr-FR"/>
        </w:rPr>
      </w:pPr>
      <w:r w:rsidRPr="00A5720B">
        <w:rPr>
          <w:rFonts w:cs="Times New Roman"/>
          <w:szCs w:val="24"/>
          <w:lang w:val="fr-FR"/>
        </w:rPr>
        <w:t>L’Afrique subsaharienne</w:t>
      </w:r>
      <w:r w:rsidR="00B4464C" w:rsidRPr="00A5720B">
        <w:rPr>
          <w:rFonts w:cs="Times New Roman"/>
          <w:szCs w:val="24"/>
          <w:lang w:val="fr-FR"/>
        </w:rPr>
        <w:t xml:space="preserve"> se distingue par la jeunesse de sa </w:t>
      </w:r>
      <w:r w:rsidRPr="00A5720B">
        <w:rPr>
          <w:rFonts w:cs="Times New Roman"/>
          <w:szCs w:val="24"/>
          <w:lang w:val="fr-FR"/>
        </w:rPr>
        <w:t>population dans</w:t>
      </w:r>
      <w:r w:rsidR="00B4464C" w:rsidRPr="00A5720B">
        <w:rPr>
          <w:rFonts w:cs="Times New Roman"/>
          <w:szCs w:val="24"/>
          <w:lang w:val="fr-FR"/>
        </w:rPr>
        <w:t xml:space="preserve"> la tranche d’âge </w:t>
      </w:r>
      <w:r w:rsidRPr="00A5720B">
        <w:rPr>
          <w:rFonts w:cs="Times New Roman"/>
          <w:szCs w:val="24"/>
          <w:lang w:val="fr-FR"/>
        </w:rPr>
        <w:t>des 10</w:t>
      </w:r>
      <w:r w:rsidR="00007273" w:rsidRPr="00A5720B">
        <w:rPr>
          <w:rFonts w:cs="Times New Roman"/>
          <w:szCs w:val="24"/>
          <w:lang w:val="fr-FR"/>
        </w:rPr>
        <w:t xml:space="preserve"> à 24 ans. </w:t>
      </w:r>
      <w:r w:rsidR="00B4464C" w:rsidRPr="00A5720B">
        <w:rPr>
          <w:rFonts w:cs="Times New Roman"/>
          <w:szCs w:val="24"/>
          <w:lang w:val="fr-FR"/>
        </w:rPr>
        <w:t xml:space="preserve">Ainsi, sans risque de se tromper, nous pouvons affirmer que cette partie du continent a une opportunité unique de capitaliser sur le potentiel de cette population jeune, afin de renforcer la croissance économique et le développement national. Les conférences de Ouagadougou (février 2011) et de Londres (juillet 2012), associées au lancement de l'initiative mondiale FP2020, ont attiré une attention croissante sur le rôle déterminant que joue la planification familiale (PF) tant du point de vue de la santé que du point de vue économique, en particulier pour les femmes, et dans l’atteinte des objectifs de développement durable (ODD).  </w:t>
      </w:r>
    </w:p>
    <w:p w:rsidR="00B4464C" w:rsidRPr="00A5720B" w:rsidRDefault="00B4464C" w:rsidP="00921787">
      <w:pPr>
        <w:jc w:val="both"/>
        <w:rPr>
          <w:rFonts w:cs="Times New Roman"/>
          <w:szCs w:val="24"/>
          <w:lang w:val="fr-FR"/>
        </w:rPr>
      </w:pPr>
      <w:r w:rsidRPr="00A5720B">
        <w:rPr>
          <w:rFonts w:cs="Times New Roman"/>
          <w:szCs w:val="24"/>
          <w:lang w:val="fr-FR"/>
        </w:rPr>
        <w:t xml:space="preserve">En Afrique de l’Ouest francophone, où les besoins non satisfaits en planification familiale (PF) et les taux de fécondité restent élevés, le taux de prévalence contraceptive demeure faible comparativement à d’autres zones du globe. </w:t>
      </w:r>
    </w:p>
    <w:p w:rsidR="00B4464C" w:rsidRPr="00A5720B" w:rsidRDefault="00B4464C" w:rsidP="00921787">
      <w:pPr>
        <w:jc w:val="both"/>
        <w:rPr>
          <w:rFonts w:cs="Times New Roman"/>
          <w:szCs w:val="24"/>
          <w:lang w:val="fr-FR"/>
        </w:rPr>
      </w:pPr>
      <w:r w:rsidRPr="00A5720B">
        <w:rPr>
          <w:rFonts w:cs="Times New Roman"/>
          <w:szCs w:val="24"/>
          <w:lang w:val="fr-FR"/>
        </w:rPr>
        <w:t xml:space="preserve">Au Niger, la population est estimée à plus de 17 millions d’habitants dont 3 729 379 femmes de 14-49 </w:t>
      </w:r>
      <w:r w:rsidR="00921787" w:rsidRPr="00A5720B">
        <w:rPr>
          <w:rFonts w:cs="Times New Roman"/>
          <w:szCs w:val="24"/>
          <w:lang w:val="fr-FR"/>
        </w:rPr>
        <w:t>ans (</w:t>
      </w:r>
      <w:r w:rsidRPr="00A5720B">
        <w:rPr>
          <w:rFonts w:cs="Times New Roman"/>
          <w:szCs w:val="24"/>
          <w:lang w:val="fr-FR"/>
        </w:rPr>
        <w:t>RGPH 2012). Le taux de couverture sanitaire reste toujours avec 48,47% selon l’annuaire des statistiques sanitaires 2015 du Niger.  Le taux de séropositivité au VIH est de 0,28% des femmes en consultation prénatales (Annuaire Statistiques 2015). En plus de ces défis, le pays enregistre le record mondial avec un taux d’accroissement naturel de 3,9% et une fécondité de 7,6 enfants par femme (EDSN 2012). Le taux de prévalence contraceptive moderne (</w:t>
      </w:r>
      <w:proofErr w:type="spellStart"/>
      <w:r w:rsidRPr="00A5720B">
        <w:rPr>
          <w:rFonts w:cs="Times New Roman"/>
          <w:szCs w:val="24"/>
          <w:lang w:val="fr-FR"/>
        </w:rPr>
        <w:t>TPCm</w:t>
      </w:r>
      <w:proofErr w:type="spellEnd"/>
      <w:r w:rsidRPr="00A5720B">
        <w:rPr>
          <w:rFonts w:cs="Times New Roman"/>
          <w:szCs w:val="24"/>
          <w:lang w:val="fr-FR"/>
        </w:rPr>
        <w:t xml:space="preserve">) est de 18,1% (PMA2020 2017). </w:t>
      </w:r>
    </w:p>
    <w:p w:rsidR="00B4464C" w:rsidRPr="00A5720B" w:rsidRDefault="00B4464C" w:rsidP="00921787">
      <w:pPr>
        <w:jc w:val="both"/>
        <w:rPr>
          <w:rFonts w:cs="Times New Roman"/>
          <w:szCs w:val="24"/>
          <w:lang w:val="fr-FR"/>
        </w:rPr>
      </w:pPr>
      <w:r w:rsidRPr="00A5720B">
        <w:rPr>
          <w:rFonts w:cs="Times New Roman"/>
          <w:szCs w:val="24"/>
          <w:lang w:val="fr-FR"/>
        </w:rPr>
        <w:t xml:space="preserve">C’est dans le but d’accélérer l’accessibilité au DMPA-SC dans 8 pays du Partenariat de Ouagadougou, que </w:t>
      </w:r>
      <w:proofErr w:type="spellStart"/>
      <w:r w:rsidRPr="00A5720B">
        <w:rPr>
          <w:rFonts w:cs="Times New Roman"/>
          <w:szCs w:val="24"/>
          <w:lang w:val="fr-FR"/>
        </w:rPr>
        <w:t>Jhpiego</w:t>
      </w:r>
      <w:proofErr w:type="spellEnd"/>
      <w:r w:rsidRPr="00A5720B">
        <w:rPr>
          <w:rFonts w:cs="Times New Roman"/>
          <w:szCs w:val="24"/>
          <w:lang w:val="fr-FR"/>
        </w:rPr>
        <w:t xml:space="preserve"> s’est fixé pour objectif de renforcer les efforts des divers systèmes de santé de ces pays en collaboration avec Access Collaborative, afin de faciliter la mise à disposition et l’accès de cette méthode aux femmes et aux filles à travers le projet ‘’Accélérer l’Accès du DMPA-SC’’ sur financement de la Fondation Bill et Melinda Gates. Ainsi, dans le cadre du partenariat de Ouagadougou, le Niger s’est fixé l’objectif d’atteindre 50% de </w:t>
      </w:r>
      <w:proofErr w:type="spellStart"/>
      <w:r w:rsidRPr="00A5720B">
        <w:rPr>
          <w:rFonts w:cs="Times New Roman"/>
          <w:szCs w:val="24"/>
          <w:lang w:val="fr-FR"/>
        </w:rPr>
        <w:t>TPCm</w:t>
      </w:r>
      <w:proofErr w:type="spellEnd"/>
      <w:r w:rsidRPr="00A5720B">
        <w:rPr>
          <w:rFonts w:cs="Times New Roman"/>
          <w:szCs w:val="24"/>
          <w:lang w:val="fr-FR"/>
        </w:rPr>
        <w:t xml:space="preserve"> d’ici 2020. </w:t>
      </w:r>
    </w:p>
    <w:p w:rsidR="00B4464C" w:rsidRPr="00A5720B" w:rsidRDefault="00B4464C" w:rsidP="00921787">
      <w:pPr>
        <w:jc w:val="both"/>
        <w:rPr>
          <w:rFonts w:cs="Times New Roman"/>
          <w:szCs w:val="24"/>
          <w:lang w:val="fr-FR"/>
        </w:rPr>
      </w:pPr>
      <w:r w:rsidRPr="00A5720B">
        <w:rPr>
          <w:rFonts w:cs="Times New Roman"/>
          <w:szCs w:val="24"/>
          <w:lang w:val="fr-FR"/>
        </w:rPr>
        <w:t xml:space="preserve">Pour mieux orienter ces stratégies d’atteinte de ces objectifs, le Ministère de la santé à travers la Direction de la Santé de la Mère et de l’Enfant soutenu techniquement et </w:t>
      </w:r>
      <w:r w:rsidR="00356100" w:rsidRPr="00A5720B">
        <w:rPr>
          <w:rFonts w:cs="Times New Roman"/>
          <w:szCs w:val="24"/>
          <w:lang w:val="fr-FR"/>
        </w:rPr>
        <w:t>financièrement</w:t>
      </w:r>
      <w:r w:rsidRPr="00A5720B">
        <w:rPr>
          <w:rFonts w:cs="Times New Roman"/>
          <w:szCs w:val="24"/>
          <w:lang w:val="fr-FR"/>
        </w:rPr>
        <w:t xml:space="preserve"> par </w:t>
      </w:r>
      <w:proofErr w:type="spellStart"/>
      <w:r w:rsidRPr="00A5720B">
        <w:rPr>
          <w:rFonts w:cs="Times New Roman"/>
          <w:szCs w:val="24"/>
          <w:lang w:val="fr-FR"/>
        </w:rPr>
        <w:t>Jhpiego</w:t>
      </w:r>
      <w:proofErr w:type="spellEnd"/>
      <w:r w:rsidRPr="00A5720B">
        <w:rPr>
          <w:rFonts w:cs="Times New Roman"/>
          <w:szCs w:val="24"/>
          <w:lang w:val="fr-FR"/>
        </w:rPr>
        <w:t xml:space="preserve"> dans le cadre de l’</w:t>
      </w:r>
      <w:r w:rsidR="00356100" w:rsidRPr="00A5720B">
        <w:rPr>
          <w:rFonts w:cs="Times New Roman"/>
          <w:szCs w:val="24"/>
          <w:lang w:val="fr-FR"/>
        </w:rPr>
        <w:t>accélération</w:t>
      </w:r>
      <w:r w:rsidRPr="00A5720B">
        <w:rPr>
          <w:rFonts w:cs="Times New Roman"/>
          <w:szCs w:val="24"/>
          <w:lang w:val="fr-FR"/>
        </w:rPr>
        <w:t xml:space="preserve"> de l’accessibilité du DMPA-SC au Niger, se propose de réaliser une analyse situationnelle rapide sur l’introduction du DMPA-SC au Niger.</w:t>
      </w:r>
    </w:p>
    <w:p w:rsidR="00B4464C" w:rsidRPr="00A5720B" w:rsidRDefault="00B4464C" w:rsidP="00921787">
      <w:pPr>
        <w:jc w:val="both"/>
        <w:rPr>
          <w:rFonts w:cs="Times New Roman"/>
          <w:szCs w:val="24"/>
          <w:lang w:val="fr-FR"/>
        </w:rPr>
      </w:pPr>
      <w:r w:rsidRPr="00A5720B">
        <w:rPr>
          <w:rFonts w:cs="Times New Roman"/>
          <w:szCs w:val="24"/>
          <w:lang w:val="fr-FR"/>
        </w:rPr>
        <w:t>L’objectif général de cette analyse est de déterminer le niveau actuel de l’introduction du DMPA-SC en Niger, en mettant en exergue les rôles des acteurs et les facteurs qui influenceraient son passage à échelle sur l’ensemble du territoire national.</w:t>
      </w:r>
    </w:p>
    <w:p w:rsidR="00B4464C" w:rsidRPr="00A5720B" w:rsidRDefault="00B4464C" w:rsidP="00A5720B">
      <w:pPr>
        <w:spacing w:after="120" w:line="240" w:lineRule="auto"/>
        <w:jc w:val="both"/>
        <w:rPr>
          <w:rFonts w:cs="Times New Roman"/>
          <w:szCs w:val="24"/>
          <w:lang w:val="fr-FR"/>
        </w:rPr>
      </w:pPr>
      <w:r w:rsidRPr="00A5720B">
        <w:rPr>
          <w:rFonts w:cs="Times New Roman"/>
          <w:szCs w:val="24"/>
          <w:lang w:val="fr-FR"/>
        </w:rPr>
        <w:t xml:space="preserve">Spécifiquement il s’agira de : </w:t>
      </w:r>
    </w:p>
    <w:p w:rsidR="00B4464C" w:rsidRPr="0079228E" w:rsidRDefault="00921787" w:rsidP="006C0B83">
      <w:pPr>
        <w:pStyle w:val="JhpBulletLevel1bl1"/>
        <w:numPr>
          <w:ilvl w:val="0"/>
          <w:numId w:val="4"/>
        </w:numPr>
        <w:spacing w:before="0"/>
        <w:rPr>
          <w:lang w:val="fr-FR"/>
        </w:rPr>
      </w:pPr>
      <w:r w:rsidRPr="0079228E">
        <w:rPr>
          <w:lang w:val="fr-FR"/>
        </w:rPr>
        <w:t>Collecter</w:t>
      </w:r>
      <w:r w:rsidR="00B4464C" w:rsidRPr="0079228E">
        <w:rPr>
          <w:lang w:val="fr-FR"/>
        </w:rPr>
        <w:t xml:space="preserve"> les informations et données influençant l’introduction et/ou le passage à l’échelle du DMPA-SC en Niger ;</w:t>
      </w:r>
    </w:p>
    <w:p w:rsidR="00B4464C" w:rsidRPr="0079228E" w:rsidRDefault="00921787" w:rsidP="006C0B83">
      <w:pPr>
        <w:pStyle w:val="JhpBulletLevel1bl1"/>
        <w:numPr>
          <w:ilvl w:val="0"/>
          <w:numId w:val="4"/>
        </w:numPr>
        <w:spacing w:before="0"/>
        <w:rPr>
          <w:lang w:val="fr-FR"/>
        </w:rPr>
      </w:pPr>
      <w:r w:rsidRPr="0079228E">
        <w:rPr>
          <w:lang w:val="fr-FR"/>
        </w:rPr>
        <w:t>Identifier</w:t>
      </w:r>
      <w:r w:rsidR="00B4464C" w:rsidRPr="0079228E">
        <w:rPr>
          <w:lang w:val="fr-FR"/>
        </w:rPr>
        <w:t xml:space="preserve"> les parties prenantes ainsi que leurs rôles dans la mise en œuvre du projet ;</w:t>
      </w:r>
    </w:p>
    <w:p w:rsidR="00B4464C" w:rsidRPr="0079228E" w:rsidRDefault="00921787" w:rsidP="006C0B83">
      <w:pPr>
        <w:pStyle w:val="JhpBulletLevel1bl1"/>
        <w:numPr>
          <w:ilvl w:val="0"/>
          <w:numId w:val="4"/>
        </w:numPr>
        <w:spacing w:before="0"/>
        <w:rPr>
          <w:lang w:val="fr-FR"/>
        </w:rPr>
      </w:pPr>
      <w:r w:rsidRPr="0079228E">
        <w:rPr>
          <w:lang w:val="fr-FR"/>
        </w:rPr>
        <w:t>Déterminer</w:t>
      </w:r>
      <w:r w:rsidR="00B4464C" w:rsidRPr="0079228E">
        <w:rPr>
          <w:lang w:val="fr-FR"/>
        </w:rPr>
        <w:t xml:space="preserve"> et analyser les facteurs entravant le processus d’introduction et/ou de passage à l’échelle du DMPA-SC ;</w:t>
      </w:r>
    </w:p>
    <w:p w:rsidR="00B4464C" w:rsidRPr="0079228E" w:rsidRDefault="00921787" w:rsidP="006C0B83">
      <w:pPr>
        <w:pStyle w:val="JhpBulletLevel1bl1"/>
        <w:numPr>
          <w:ilvl w:val="0"/>
          <w:numId w:val="4"/>
        </w:numPr>
        <w:spacing w:before="0"/>
        <w:rPr>
          <w:lang w:val="fr-FR"/>
        </w:rPr>
      </w:pPr>
      <w:r w:rsidRPr="0079228E">
        <w:rPr>
          <w:lang w:val="fr-FR"/>
        </w:rPr>
        <w:t>Identifier</w:t>
      </w:r>
      <w:r w:rsidR="00B4464C" w:rsidRPr="0079228E">
        <w:rPr>
          <w:lang w:val="fr-FR"/>
        </w:rPr>
        <w:t xml:space="preserve"> les opportunités de plaidoyer et d’activités novatrices en matière d’accès au DMPA-SC ;</w:t>
      </w:r>
    </w:p>
    <w:p w:rsidR="00B4464C" w:rsidRDefault="00921787" w:rsidP="006C0B83">
      <w:pPr>
        <w:pStyle w:val="JhpBulletLevel1bl1"/>
        <w:numPr>
          <w:ilvl w:val="0"/>
          <w:numId w:val="4"/>
        </w:numPr>
        <w:spacing w:before="0"/>
        <w:rPr>
          <w:lang w:val="fr-FR"/>
        </w:rPr>
      </w:pPr>
      <w:r w:rsidRPr="0079228E">
        <w:rPr>
          <w:lang w:val="fr-FR"/>
        </w:rPr>
        <w:t>Mettre</w:t>
      </w:r>
      <w:r w:rsidR="00B4464C" w:rsidRPr="0079228E">
        <w:rPr>
          <w:lang w:val="fr-FR"/>
        </w:rPr>
        <w:t xml:space="preserve"> à jour la feuille de route des activités qui contribueront à l’accélération de l’accès au DMPA-SC en Niger.</w:t>
      </w:r>
    </w:p>
    <w:p w:rsidR="00B4464C" w:rsidRPr="00F04979" w:rsidRDefault="00B4464C" w:rsidP="00F04979">
      <w:pPr>
        <w:pStyle w:val="JhpChapterTitlect"/>
        <w:rPr>
          <w:lang w:val="fr-FR"/>
        </w:rPr>
      </w:pPr>
      <w:bookmarkStart w:id="24" w:name="_Toc19103552"/>
      <w:bookmarkStart w:id="25" w:name="_Toc19105205"/>
      <w:bookmarkStart w:id="26" w:name="_Toc19105222"/>
      <w:bookmarkStart w:id="27" w:name="_Toc19105239"/>
      <w:bookmarkStart w:id="28" w:name="_Toc19105258"/>
      <w:bookmarkStart w:id="29" w:name="_Toc19105275"/>
      <w:bookmarkStart w:id="30" w:name="_Toc19105292"/>
      <w:bookmarkStart w:id="31" w:name="_Toc19105312"/>
      <w:bookmarkStart w:id="32" w:name="_Toc19105444"/>
      <w:bookmarkStart w:id="33" w:name="_Toc19105667"/>
      <w:bookmarkStart w:id="34" w:name="_Toc19106044"/>
      <w:bookmarkStart w:id="35" w:name="_Toc19106300"/>
      <w:bookmarkStart w:id="36" w:name="_Toc19106476"/>
      <w:bookmarkStart w:id="37" w:name="_Toc19105276"/>
      <w:bookmarkStart w:id="38" w:name="_Toc19203075"/>
      <w:bookmarkEnd w:id="24"/>
      <w:bookmarkEnd w:id="25"/>
      <w:bookmarkEnd w:id="26"/>
      <w:bookmarkEnd w:id="27"/>
      <w:bookmarkEnd w:id="28"/>
      <w:bookmarkEnd w:id="29"/>
      <w:bookmarkEnd w:id="30"/>
      <w:bookmarkEnd w:id="31"/>
      <w:bookmarkEnd w:id="32"/>
      <w:bookmarkEnd w:id="33"/>
      <w:bookmarkEnd w:id="34"/>
      <w:bookmarkEnd w:id="35"/>
      <w:bookmarkEnd w:id="36"/>
      <w:r w:rsidRPr="00F04979">
        <w:rPr>
          <w:lang w:val="fr-FR"/>
        </w:rPr>
        <w:lastRenderedPageBreak/>
        <w:t>Méthodologie</w:t>
      </w:r>
      <w:bookmarkEnd w:id="23"/>
      <w:bookmarkEnd w:id="37"/>
      <w:bookmarkEnd w:id="38"/>
      <w:r w:rsidRPr="00F04979">
        <w:rPr>
          <w:lang w:val="fr-FR"/>
        </w:rPr>
        <w:t xml:space="preserve"> </w:t>
      </w:r>
    </w:p>
    <w:p w:rsidR="00B4464C" w:rsidRPr="00A5720B" w:rsidRDefault="00B4464C" w:rsidP="00921787">
      <w:pPr>
        <w:jc w:val="both"/>
        <w:rPr>
          <w:rFonts w:cs="Times New Roman"/>
          <w:lang w:val="fr-FR"/>
        </w:rPr>
      </w:pPr>
      <w:r w:rsidRPr="00A5720B">
        <w:rPr>
          <w:rFonts w:cs="Times New Roman"/>
          <w:lang w:val="fr-FR"/>
        </w:rPr>
        <w:t xml:space="preserve">Cette étude s’est basée sur la collecte des informations et données sur le DMPA-SC au Niger, afin de déterminer son stade actuel de passage à l’échelle, les rôles des différentes parties prenantes et les goulots d’étranglement que le pays rencontre dans le </w:t>
      </w:r>
      <w:r w:rsidR="00921787" w:rsidRPr="00A5720B">
        <w:rPr>
          <w:rFonts w:cs="Times New Roman"/>
          <w:lang w:val="fr-FR"/>
        </w:rPr>
        <w:t>processus de</w:t>
      </w:r>
      <w:r w:rsidRPr="00A5720B">
        <w:rPr>
          <w:rFonts w:cs="Times New Roman"/>
          <w:lang w:val="fr-FR"/>
        </w:rPr>
        <w:t xml:space="preserve"> passage à l’échelle du DMPA-SC. Ceci, dans l’optique de fournir des éléments à la prise des décisions stratégiques et à l’accélération du passage à l’échelle du DMPA-SC. </w:t>
      </w:r>
    </w:p>
    <w:p w:rsidR="00B4464C" w:rsidRPr="00A5720B" w:rsidRDefault="00B4464C" w:rsidP="00921787">
      <w:pPr>
        <w:jc w:val="both"/>
        <w:rPr>
          <w:rFonts w:cs="Times New Roman"/>
          <w:lang w:val="fr-FR"/>
        </w:rPr>
      </w:pPr>
      <w:r w:rsidRPr="00A5720B">
        <w:rPr>
          <w:rFonts w:cs="Times New Roman"/>
          <w:lang w:val="fr-FR"/>
        </w:rPr>
        <w:t>A cet effet, une revue complète de la littérature a été faite à travers l’analyse des plans, politiques et documents stratégiques nationaux qui évoquent directement ou indirectement les questions liées à la santé de la reproduction, particulièrement les produits contraceptifs dont le DMPA-SC. Ces documents sont : la loi sur la santé de la reproduction (2006), les normes et procédures en matière de santé de la reproduction (2012), manuel du participant à la formation en PF (2018), le plan de développement sanitaire (2017-2021</w:t>
      </w:r>
      <w:r w:rsidR="00356100" w:rsidRPr="00A5720B">
        <w:rPr>
          <w:rFonts w:cs="Times New Roman"/>
          <w:lang w:val="fr-FR"/>
        </w:rPr>
        <w:t>),</w:t>
      </w:r>
      <w:r w:rsidRPr="00A5720B">
        <w:rPr>
          <w:rFonts w:cs="Times New Roman"/>
          <w:lang w:val="fr-FR"/>
        </w:rPr>
        <w:t xml:space="preserve"> le plan d’action national budgétisé de la planification familiale, le plan de sécurisation des produits de la santé de la reproduction. </w:t>
      </w:r>
    </w:p>
    <w:p w:rsidR="00B4464C" w:rsidRPr="00A5720B" w:rsidRDefault="00B4464C" w:rsidP="00921787">
      <w:pPr>
        <w:jc w:val="both"/>
        <w:rPr>
          <w:rFonts w:cs="Times New Roman"/>
          <w:lang w:val="fr-FR"/>
        </w:rPr>
      </w:pPr>
      <w:r w:rsidRPr="00A5720B">
        <w:rPr>
          <w:rFonts w:cs="Times New Roman"/>
          <w:lang w:val="fr-FR"/>
        </w:rPr>
        <w:t xml:space="preserve">Un guide de collecte de données a servi d’outil pour orienter la collecte des données. Ce guide est structuré autour des points ci-après : </w:t>
      </w:r>
    </w:p>
    <w:p w:rsidR="00A5720B" w:rsidRPr="00A5720B" w:rsidRDefault="00BE5D77" w:rsidP="00361443">
      <w:pPr>
        <w:pStyle w:val="JhpBulletLevel1bl1"/>
        <w:numPr>
          <w:ilvl w:val="0"/>
          <w:numId w:val="4"/>
        </w:numPr>
        <w:rPr>
          <w:lang w:val="fr-FR"/>
        </w:rPr>
      </w:pPr>
      <w:r w:rsidRPr="00A5720B">
        <w:rPr>
          <w:lang w:val="fr-FR"/>
        </w:rPr>
        <w:t>Un</w:t>
      </w:r>
      <w:r w:rsidR="00B4464C" w:rsidRPr="00A5720B">
        <w:rPr>
          <w:lang w:val="fr-FR"/>
        </w:rPr>
        <w:t xml:space="preserve"> aperçu de la couverture et des besoins en planification familiale dans le pays, </w:t>
      </w:r>
    </w:p>
    <w:p w:rsidR="00A5720B" w:rsidRPr="00A5720B" w:rsidRDefault="00BE5D77" w:rsidP="00361443">
      <w:pPr>
        <w:pStyle w:val="JhpBulletLevel1bl1"/>
        <w:numPr>
          <w:ilvl w:val="0"/>
          <w:numId w:val="4"/>
        </w:numPr>
        <w:rPr>
          <w:lang w:val="fr-FR"/>
        </w:rPr>
      </w:pPr>
      <w:r w:rsidRPr="00A5720B">
        <w:rPr>
          <w:lang w:val="fr-FR"/>
        </w:rPr>
        <w:t>Un</w:t>
      </w:r>
      <w:r w:rsidR="00B4464C" w:rsidRPr="00A5720B">
        <w:rPr>
          <w:lang w:val="fr-FR"/>
        </w:rPr>
        <w:t xml:space="preserve"> guide d’entretien avec des responsables du Ministère de la santé, essentiellement la Direction de la santé de la mère et de l’enfant/division de la planification familiale</w:t>
      </w:r>
    </w:p>
    <w:p w:rsidR="00B4464C" w:rsidRPr="00A5720B" w:rsidRDefault="00BE5D77" w:rsidP="00361443">
      <w:pPr>
        <w:pStyle w:val="JhpBulletLevel1bl1"/>
        <w:numPr>
          <w:ilvl w:val="0"/>
          <w:numId w:val="4"/>
        </w:numPr>
        <w:rPr>
          <w:lang w:val="fr-FR"/>
        </w:rPr>
      </w:pPr>
      <w:r w:rsidRPr="00A5720B">
        <w:rPr>
          <w:lang w:val="fr-FR"/>
        </w:rPr>
        <w:t>Les</w:t>
      </w:r>
      <w:r w:rsidR="00B4464C" w:rsidRPr="00A5720B">
        <w:rPr>
          <w:lang w:val="fr-FR"/>
        </w:rPr>
        <w:t xml:space="preserve"> références aux indicateurs globaux du DMPA-SC. </w:t>
      </w:r>
    </w:p>
    <w:p w:rsidR="00A5720B" w:rsidRPr="00A5720B" w:rsidRDefault="00A5720B" w:rsidP="00921787">
      <w:pPr>
        <w:jc w:val="both"/>
        <w:rPr>
          <w:rFonts w:cs="Times New Roman"/>
          <w:sz w:val="2"/>
          <w:lang w:val="fr-FR"/>
        </w:rPr>
      </w:pPr>
    </w:p>
    <w:p w:rsidR="00B4464C" w:rsidRPr="00A5720B" w:rsidRDefault="00B4464C" w:rsidP="00921787">
      <w:pPr>
        <w:jc w:val="both"/>
        <w:rPr>
          <w:rFonts w:cs="Times New Roman"/>
          <w:lang w:val="fr-FR"/>
        </w:rPr>
      </w:pPr>
      <w:r w:rsidRPr="00A5720B">
        <w:rPr>
          <w:rFonts w:cs="Times New Roman"/>
          <w:lang w:val="fr-FR"/>
        </w:rPr>
        <w:t>La collecte s’est déroulée en deux (2) phases : la 1</w:t>
      </w:r>
      <w:r w:rsidRPr="00A5720B">
        <w:rPr>
          <w:rFonts w:cs="Times New Roman"/>
          <w:vertAlign w:val="superscript"/>
          <w:lang w:val="fr-FR"/>
        </w:rPr>
        <w:t>ère</w:t>
      </w:r>
      <w:r w:rsidRPr="00A5720B">
        <w:rPr>
          <w:rFonts w:cs="Times New Roman"/>
          <w:lang w:val="fr-FR"/>
        </w:rPr>
        <w:t xml:space="preserve"> pendant le mois d’Avril conduite par la division planification familiale qui a fait l’exercice de renseignement de l’outil de collecte. A travers ses   </w:t>
      </w:r>
      <w:r w:rsidR="00356100" w:rsidRPr="00A5720B">
        <w:rPr>
          <w:rFonts w:cs="Times New Roman"/>
          <w:lang w:val="fr-FR"/>
        </w:rPr>
        <w:t>techniciens appuyés</w:t>
      </w:r>
      <w:r w:rsidRPr="00A5720B">
        <w:rPr>
          <w:rFonts w:cs="Times New Roman"/>
          <w:lang w:val="fr-FR"/>
        </w:rPr>
        <w:t xml:space="preserve"> de quelques membres du comité technique de suivi du plan PF.   </w:t>
      </w:r>
    </w:p>
    <w:p w:rsidR="00B4464C" w:rsidRPr="00A5720B" w:rsidRDefault="00B4464C" w:rsidP="00921787">
      <w:pPr>
        <w:jc w:val="both"/>
        <w:rPr>
          <w:rFonts w:cs="Times New Roman"/>
          <w:lang w:val="fr-FR"/>
        </w:rPr>
      </w:pPr>
      <w:r w:rsidRPr="00A5720B">
        <w:rPr>
          <w:rFonts w:cs="Times New Roman"/>
          <w:lang w:val="fr-FR"/>
        </w:rPr>
        <w:t>La 2</w:t>
      </w:r>
      <w:r w:rsidRPr="00A5720B">
        <w:rPr>
          <w:rFonts w:cs="Times New Roman"/>
          <w:vertAlign w:val="superscript"/>
          <w:lang w:val="fr-FR"/>
        </w:rPr>
        <w:t>ème</w:t>
      </w:r>
      <w:r w:rsidRPr="00A5720B">
        <w:rPr>
          <w:rFonts w:cs="Times New Roman"/>
          <w:lang w:val="fr-FR"/>
        </w:rPr>
        <w:t xml:space="preserve"> phase a été conduite par la division de la planification familiale à l’initiative de </w:t>
      </w:r>
      <w:proofErr w:type="spellStart"/>
      <w:r w:rsidRPr="00A5720B">
        <w:rPr>
          <w:rFonts w:cs="Times New Roman"/>
          <w:lang w:val="fr-FR"/>
        </w:rPr>
        <w:t>Jhpiego</w:t>
      </w:r>
      <w:proofErr w:type="spellEnd"/>
      <w:r w:rsidRPr="00A5720B">
        <w:rPr>
          <w:rFonts w:cs="Times New Roman"/>
          <w:lang w:val="fr-FR"/>
        </w:rPr>
        <w:t xml:space="preserve"> qui a appuyé un atelier de deux (2) jours pour recueillir un consensus des acteurs sur le </w:t>
      </w:r>
      <w:proofErr w:type="spellStart"/>
      <w:r w:rsidRPr="00A5720B">
        <w:rPr>
          <w:rFonts w:cs="Times New Roman"/>
          <w:lang w:val="fr-FR"/>
        </w:rPr>
        <w:t>draft</w:t>
      </w:r>
      <w:proofErr w:type="spellEnd"/>
      <w:r w:rsidRPr="00A5720B">
        <w:rPr>
          <w:rFonts w:cs="Times New Roman"/>
          <w:lang w:val="fr-FR"/>
        </w:rPr>
        <w:t xml:space="preserve"> élaboré précédemment et finaliser la collecte. En fin, un comité restreint de finalisation a été mis en place pour compléter les informations manquantes et finaliser le travail. Dans le processus de finalisation, un mail a été envoyé par le directeur de la santé de la mère et de l’enfant pour collecter des informations complémentaires avec certains acteurs clés.  </w:t>
      </w:r>
    </w:p>
    <w:p w:rsidR="00B4464C" w:rsidRPr="00A5720B" w:rsidRDefault="00B4464C" w:rsidP="00921787">
      <w:pPr>
        <w:jc w:val="both"/>
        <w:rPr>
          <w:rFonts w:cs="Times New Roman"/>
          <w:lang w:val="fr-FR"/>
        </w:rPr>
      </w:pPr>
      <w:r w:rsidRPr="00A5720B">
        <w:rPr>
          <w:rFonts w:cs="Times New Roman"/>
          <w:lang w:val="fr-FR"/>
        </w:rPr>
        <w:t xml:space="preserve">Des entretiens ont été également menés avec des acteurs clés lors de la collecte des données. </w:t>
      </w:r>
    </w:p>
    <w:p w:rsidR="00B4464C" w:rsidRPr="00A5720B" w:rsidRDefault="00B4464C" w:rsidP="00921787">
      <w:pPr>
        <w:jc w:val="both"/>
        <w:rPr>
          <w:rFonts w:cs="Times New Roman"/>
          <w:lang w:val="fr-FR"/>
        </w:rPr>
      </w:pPr>
      <w:r w:rsidRPr="00A5720B">
        <w:rPr>
          <w:rFonts w:cs="Times New Roman"/>
          <w:lang w:val="fr-FR"/>
        </w:rPr>
        <w:t xml:space="preserve">Les données collectées ont permis de faire une analyse détaillée indicateur par indicateur, analyse contenues dans le présent rapport. </w:t>
      </w:r>
    </w:p>
    <w:p w:rsidR="00611301" w:rsidRPr="00A5720B" w:rsidRDefault="00611301" w:rsidP="00921787">
      <w:pPr>
        <w:jc w:val="both"/>
        <w:rPr>
          <w:rFonts w:cs="Times New Roman"/>
          <w:lang w:val="fr-FR"/>
        </w:rPr>
      </w:pPr>
    </w:p>
    <w:p w:rsidR="008633DA" w:rsidRPr="00A5720B" w:rsidRDefault="008633DA" w:rsidP="00921787">
      <w:pPr>
        <w:jc w:val="both"/>
        <w:rPr>
          <w:rFonts w:cs="Times New Roman"/>
          <w:lang w:val="fr-FR"/>
        </w:rPr>
      </w:pPr>
    </w:p>
    <w:p w:rsidR="008633DA" w:rsidRPr="00A5720B" w:rsidRDefault="008633DA" w:rsidP="00921787">
      <w:pPr>
        <w:jc w:val="both"/>
        <w:rPr>
          <w:rFonts w:cs="Times New Roman"/>
          <w:lang w:val="fr-FR"/>
        </w:rPr>
      </w:pPr>
    </w:p>
    <w:p w:rsidR="008633DA" w:rsidRPr="00A5720B" w:rsidRDefault="008633DA" w:rsidP="00921787">
      <w:pPr>
        <w:jc w:val="both"/>
        <w:rPr>
          <w:rFonts w:cs="Times New Roman"/>
          <w:sz w:val="24"/>
          <w:szCs w:val="24"/>
          <w:lang w:val="fr-FR"/>
        </w:rPr>
      </w:pPr>
    </w:p>
    <w:p w:rsidR="008633DA" w:rsidRPr="00A5720B" w:rsidRDefault="008633DA" w:rsidP="00921787">
      <w:pPr>
        <w:jc w:val="both"/>
        <w:rPr>
          <w:rFonts w:cs="Times New Roman"/>
          <w:sz w:val="24"/>
          <w:szCs w:val="24"/>
          <w:lang w:val="fr-FR"/>
        </w:rPr>
      </w:pPr>
    </w:p>
    <w:p w:rsidR="00B4464C" w:rsidRPr="00F04979" w:rsidRDefault="00B4464C" w:rsidP="00F04979">
      <w:pPr>
        <w:pStyle w:val="JhpChapterTitlect"/>
        <w:rPr>
          <w:bCs/>
          <w:iCs/>
          <w:lang w:val="fr-FR"/>
        </w:rPr>
      </w:pPr>
      <w:bookmarkStart w:id="39" w:name="_Toc19103554"/>
      <w:bookmarkStart w:id="40" w:name="_Toc19105207"/>
      <w:bookmarkStart w:id="41" w:name="_Toc19105224"/>
      <w:bookmarkStart w:id="42" w:name="_Toc19105241"/>
      <w:bookmarkStart w:id="43" w:name="_Toc19105260"/>
      <w:bookmarkStart w:id="44" w:name="_Toc19105277"/>
      <w:bookmarkStart w:id="45" w:name="_Toc19105294"/>
      <w:bookmarkStart w:id="46" w:name="_Toc19105314"/>
      <w:bookmarkStart w:id="47" w:name="_Toc19105446"/>
      <w:bookmarkStart w:id="48" w:name="_Toc19105669"/>
      <w:bookmarkStart w:id="49" w:name="_Toc19106046"/>
      <w:bookmarkStart w:id="50" w:name="_Toc19106302"/>
      <w:bookmarkStart w:id="51" w:name="_Toc19106478"/>
      <w:bookmarkStart w:id="52" w:name="_Toc19103555"/>
      <w:bookmarkStart w:id="53" w:name="_Toc19105208"/>
      <w:bookmarkStart w:id="54" w:name="_Toc19105225"/>
      <w:bookmarkStart w:id="55" w:name="_Toc19105242"/>
      <w:bookmarkStart w:id="56" w:name="_Toc19105261"/>
      <w:bookmarkStart w:id="57" w:name="_Toc19105278"/>
      <w:bookmarkStart w:id="58" w:name="_Toc19105295"/>
      <w:bookmarkStart w:id="59" w:name="_Toc19105315"/>
      <w:bookmarkStart w:id="60" w:name="_Toc19105447"/>
      <w:bookmarkStart w:id="61" w:name="_Toc19105670"/>
      <w:bookmarkStart w:id="62" w:name="_Toc19106047"/>
      <w:bookmarkStart w:id="63" w:name="_Toc19106303"/>
      <w:bookmarkStart w:id="64" w:name="_Toc19106479"/>
      <w:bookmarkStart w:id="65" w:name="_Toc19103556"/>
      <w:bookmarkStart w:id="66" w:name="_Toc19105209"/>
      <w:bookmarkStart w:id="67" w:name="_Toc19105226"/>
      <w:bookmarkStart w:id="68" w:name="_Toc19105243"/>
      <w:bookmarkStart w:id="69" w:name="_Toc19105262"/>
      <w:bookmarkStart w:id="70" w:name="_Toc19105279"/>
      <w:bookmarkStart w:id="71" w:name="_Toc19105296"/>
      <w:bookmarkStart w:id="72" w:name="_Toc19105316"/>
      <w:bookmarkStart w:id="73" w:name="_Toc19105448"/>
      <w:bookmarkStart w:id="74" w:name="_Toc19105671"/>
      <w:bookmarkStart w:id="75" w:name="_Toc19106048"/>
      <w:bookmarkStart w:id="76" w:name="_Toc19106304"/>
      <w:bookmarkStart w:id="77" w:name="_Toc19106480"/>
      <w:bookmarkStart w:id="78" w:name="_Toc19103557"/>
      <w:bookmarkStart w:id="79" w:name="_Toc19105210"/>
      <w:bookmarkStart w:id="80" w:name="_Toc19105227"/>
      <w:bookmarkStart w:id="81" w:name="_Toc19105244"/>
      <w:bookmarkStart w:id="82" w:name="_Toc19105263"/>
      <w:bookmarkStart w:id="83" w:name="_Toc19105280"/>
      <w:bookmarkStart w:id="84" w:name="_Toc19105297"/>
      <w:bookmarkStart w:id="85" w:name="_Toc19105317"/>
      <w:bookmarkStart w:id="86" w:name="_Toc19105449"/>
      <w:bookmarkStart w:id="87" w:name="_Toc19105672"/>
      <w:bookmarkStart w:id="88" w:name="_Toc19106049"/>
      <w:bookmarkStart w:id="89" w:name="_Toc19106305"/>
      <w:bookmarkStart w:id="90" w:name="_Toc19106481"/>
      <w:bookmarkStart w:id="91" w:name="_Toc19103558"/>
      <w:bookmarkStart w:id="92" w:name="_Toc19105211"/>
      <w:bookmarkStart w:id="93" w:name="_Toc19105228"/>
      <w:bookmarkStart w:id="94" w:name="_Toc19105245"/>
      <w:bookmarkStart w:id="95" w:name="_Toc19105264"/>
      <w:bookmarkStart w:id="96" w:name="_Toc19105281"/>
      <w:bookmarkStart w:id="97" w:name="_Toc19105298"/>
      <w:bookmarkStart w:id="98" w:name="_Toc19105318"/>
      <w:bookmarkStart w:id="99" w:name="_Toc19105450"/>
      <w:bookmarkStart w:id="100" w:name="_Toc19105673"/>
      <w:bookmarkStart w:id="101" w:name="_Toc19106050"/>
      <w:bookmarkStart w:id="102" w:name="_Toc19106306"/>
      <w:bookmarkStart w:id="103" w:name="_Toc19106482"/>
      <w:bookmarkStart w:id="104" w:name="_Toc3072425"/>
      <w:bookmarkStart w:id="105" w:name="_Toc3072551"/>
      <w:bookmarkStart w:id="106" w:name="_Toc3385416"/>
      <w:bookmarkStart w:id="107" w:name="_Toc3996454"/>
      <w:bookmarkStart w:id="108" w:name="_Toc19105282"/>
      <w:bookmarkStart w:id="109" w:name="_Toc1920307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04979">
        <w:rPr>
          <w:bCs/>
          <w:iCs/>
          <w:lang w:val="fr-FR"/>
        </w:rPr>
        <w:lastRenderedPageBreak/>
        <w:t>P</w:t>
      </w:r>
      <w:r w:rsidR="00F04979" w:rsidRPr="00F04979">
        <w:rPr>
          <w:bCs/>
          <w:iCs/>
          <w:lang w:val="fr-FR"/>
        </w:rPr>
        <w:t>rincipaux</w:t>
      </w:r>
      <w:r w:rsidRPr="00F04979">
        <w:rPr>
          <w:bCs/>
          <w:iCs/>
          <w:lang w:val="fr-FR"/>
        </w:rPr>
        <w:t xml:space="preserve"> résultats</w:t>
      </w:r>
      <w:bookmarkEnd w:id="107"/>
      <w:bookmarkEnd w:id="108"/>
      <w:bookmarkEnd w:id="109"/>
      <w:r w:rsidRPr="00F04979">
        <w:rPr>
          <w:bCs/>
          <w:iCs/>
          <w:lang w:val="fr-FR"/>
        </w:rPr>
        <w:t xml:space="preserve"> </w:t>
      </w:r>
    </w:p>
    <w:p w:rsidR="00B4464C" w:rsidRPr="00391E8C" w:rsidRDefault="00B4464C" w:rsidP="00177290">
      <w:pPr>
        <w:pStyle w:val="Style5"/>
      </w:pPr>
      <w:bookmarkStart w:id="110" w:name="_Toc3996455"/>
      <w:bookmarkStart w:id="111" w:name="_Toc19203077"/>
      <w:r w:rsidRPr="00391E8C">
        <w:t>Situation actuelle du processus d’introduction et du passage à échelle du DMPA-SC</w:t>
      </w:r>
      <w:bookmarkEnd w:id="110"/>
      <w:bookmarkEnd w:id="111"/>
    </w:p>
    <w:p w:rsidR="0079228E" w:rsidRPr="0079228E" w:rsidRDefault="0079228E" w:rsidP="0079228E">
      <w:pPr>
        <w:spacing w:after="120" w:line="240" w:lineRule="auto"/>
        <w:jc w:val="both"/>
        <w:rPr>
          <w:rFonts w:eastAsiaTheme="minorHAnsi"/>
          <w:b/>
          <w:color w:val="44546A" w:themeColor="text2"/>
          <w:sz w:val="2"/>
          <w:u w:color="000000"/>
          <w:bdr w:val="nil"/>
          <w:lang w:val="fr-FR"/>
        </w:rPr>
      </w:pPr>
    </w:p>
    <w:p w:rsidR="004F1209" w:rsidRPr="0079228E" w:rsidRDefault="00B4464C" w:rsidP="00391E8C">
      <w:pPr>
        <w:pStyle w:val="Style4"/>
      </w:pPr>
      <w:r w:rsidRPr="0079228E">
        <w:t>Brève présentation du Niger et de la planification familiale</w:t>
      </w:r>
    </w:p>
    <w:p w:rsidR="00B4464C" w:rsidRPr="00A5720B" w:rsidRDefault="00B4464C" w:rsidP="00921787">
      <w:pPr>
        <w:jc w:val="both"/>
        <w:rPr>
          <w:rFonts w:cs="Times New Roman"/>
          <w:lang w:val="fr-FR"/>
        </w:rPr>
      </w:pPr>
      <w:r w:rsidRPr="00A5720B">
        <w:rPr>
          <w:rFonts w:cs="Times New Roman"/>
          <w:lang w:val="fr-FR"/>
        </w:rPr>
        <w:t>Le Niger, pays de l’Afrique Sub-Saharienne s’étend sur une superficie de 1.267.000 km². Il est limité à l’Est par le Tchad, à l’Ouest par le Mali et le Burkina Faso, au Sud par le Nigéria et le Bénin et au Nord par l’Algérie et la Libye.</w:t>
      </w:r>
    </w:p>
    <w:p w:rsidR="00B4464C" w:rsidRPr="00A5720B" w:rsidRDefault="00B4464C" w:rsidP="00921787">
      <w:pPr>
        <w:jc w:val="both"/>
        <w:rPr>
          <w:rFonts w:cs="Times New Roman"/>
          <w:lang w:val="fr-FR"/>
        </w:rPr>
      </w:pPr>
      <w:r w:rsidRPr="00A5720B">
        <w:rPr>
          <w:rFonts w:cs="Times New Roman"/>
          <w:lang w:val="fr-FR"/>
        </w:rPr>
        <w:t xml:space="preserve">L’organisation administrative repose sur 8 régions subdivisées en 63 départements eux-mêmes subdivisés en 266 communes dont 52 urbaines et 214 rurales. </w:t>
      </w:r>
    </w:p>
    <w:p w:rsidR="00B4464C" w:rsidRPr="00A5720B" w:rsidRDefault="00B4464C" w:rsidP="00921787">
      <w:pPr>
        <w:jc w:val="both"/>
        <w:rPr>
          <w:rFonts w:cs="Times New Roman"/>
          <w:lang w:val="fr-FR"/>
        </w:rPr>
      </w:pPr>
      <w:r w:rsidRPr="00A5720B">
        <w:rPr>
          <w:rFonts w:cs="Times New Roman"/>
          <w:lang w:val="fr-FR"/>
        </w:rPr>
        <w:t xml:space="preserve">Au Niger, la population est estimée à plus de 17 millions d’habitants (RGPH 2012). Le taux de couverture sanitaire reste faible et il est de 48,47% (Annuaire Statistiques 2015).  Le taux d’accouchement assisté est de 42,26% (Annuaire Statistiques 2015). Le taux de séropositivité au VIH est de 0,28% des femmes en consultation prénatales (Annuaire Statistiques 2015). </w:t>
      </w:r>
    </w:p>
    <w:p w:rsidR="00B4464C" w:rsidRPr="00A5720B" w:rsidRDefault="00B4464C" w:rsidP="00921787">
      <w:pPr>
        <w:jc w:val="both"/>
        <w:rPr>
          <w:rFonts w:cs="Times New Roman"/>
          <w:lang w:val="fr-FR"/>
        </w:rPr>
      </w:pPr>
      <w:r w:rsidRPr="00A5720B">
        <w:rPr>
          <w:rFonts w:cs="Times New Roman"/>
          <w:lang w:val="fr-FR"/>
        </w:rPr>
        <w:t xml:space="preserve">Une grande proportion de la population est en milieu rurale avec un fort </w:t>
      </w:r>
      <w:r w:rsidR="00921787" w:rsidRPr="00A5720B">
        <w:rPr>
          <w:rFonts w:cs="Times New Roman"/>
          <w:lang w:val="fr-FR"/>
        </w:rPr>
        <w:t>taux d’analphabétisme</w:t>
      </w:r>
      <w:r w:rsidRPr="00A5720B">
        <w:rPr>
          <w:rFonts w:cs="Times New Roman"/>
          <w:lang w:val="fr-FR"/>
        </w:rPr>
        <w:t xml:space="preserve">. </w:t>
      </w:r>
    </w:p>
    <w:p w:rsidR="00B4464C" w:rsidRPr="00A5720B" w:rsidRDefault="00B4464C" w:rsidP="00D06818">
      <w:pPr>
        <w:spacing w:after="0"/>
        <w:jc w:val="both"/>
        <w:rPr>
          <w:rFonts w:cs="Times New Roman"/>
          <w:lang w:val="fr-FR"/>
        </w:rPr>
      </w:pPr>
      <w:r w:rsidRPr="00A5720B">
        <w:rPr>
          <w:rFonts w:cs="Times New Roman"/>
          <w:lang w:val="fr-FR"/>
        </w:rPr>
        <w:t xml:space="preserve">Le Niger est confronté à d’énormes difficultés en matière de la santé maternelle et infantile ; la mortalité infanto-juvénile, la transmission mère-enfant du virus du </w:t>
      </w:r>
      <w:proofErr w:type="spellStart"/>
      <w:r w:rsidRPr="00A5720B">
        <w:rPr>
          <w:rFonts w:cs="Times New Roman"/>
          <w:lang w:val="fr-FR"/>
        </w:rPr>
        <w:t>V</w:t>
      </w:r>
      <w:r w:rsidR="00187719" w:rsidRPr="00A5720B">
        <w:rPr>
          <w:rFonts w:cs="Times New Roman"/>
          <w:lang w:val="fr-FR"/>
        </w:rPr>
        <w:t>ih</w:t>
      </w:r>
      <w:proofErr w:type="spellEnd"/>
      <w:r w:rsidR="00187719" w:rsidRPr="00A5720B">
        <w:rPr>
          <w:rFonts w:cs="Times New Roman"/>
          <w:lang w:val="fr-FR"/>
        </w:rPr>
        <w:t>-sida, la pauvreté endémique.</w:t>
      </w:r>
      <w:r w:rsidRPr="00A5720B">
        <w:rPr>
          <w:rFonts w:cs="Times New Roman"/>
          <w:lang w:val="fr-FR"/>
        </w:rPr>
        <w:t xml:space="preserve">  </w:t>
      </w:r>
    </w:p>
    <w:p w:rsidR="004118BF" w:rsidRPr="003C5B1A" w:rsidRDefault="004118BF" w:rsidP="00D06818">
      <w:pPr>
        <w:spacing w:after="0"/>
        <w:jc w:val="both"/>
        <w:rPr>
          <w:rFonts w:cs="Times New Roman"/>
          <w:sz w:val="14"/>
          <w:lang w:val="fr-FR"/>
        </w:rPr>
      </w:pPr>
    </w:p>
    <w:p w:rsidR="004118BF" w:rsidRPr="00A5720B" w:rsidRDefault="004118BF" w:rsidP="00361443">
      <w:pPr>
        <w:pStyle w:val="ListParagraph"/>
        <w:numPr>
          <w:ilvl w:val="0"/>
          <w:numId w:val="10"/>
        </w:numPr>
        <w:spacing w:after="120" w:line="240" w:lineRule="auto"/>
        <w:ind w:left="357" w:hanging="357"/>
        <w:jc w:val="both"/>
        <w:rPr>
          <w:rFonts w:eastAsiaTheme="minorHAnsi"/>
          <w:b/>
          <w:color w:val="44546A" w:themeColor="text2"/>
          <w:sz w:val="24"/>
          <w:u w:color="000000"/>
          <w:bdr w:val="nil"/>
          <w:lang w:val="fr-FR"/>
        </w:rPr>
      </w:pPr>
      <w:bookmarkStart w:id="112" w:name="_Toc17466842"/>
      <w:bookmarkStart w:id="113" w:name="_Toc15977899"/>
      <w:r w:rsidRPr="00A5720B">
        <w:rPr>
          <w:rFonts w:eastAsiaTheme="minorHAnsi"/>
          <w:b/>
          <w:color w:val="44546A" w:themeColor="text2"/>
          <w:sz w:val="24"/>
          <w:u w:color="000000"/>
          <w:bdr w:val="nil"/>
          <w:lang w:val="fr-FR"/>
        </w:rPr>
        <w:t>Système sanitaire et situation de la Planification Familiale</w:t>
      </w:r>
      <w:bookmarkEnd w:id="112"/>
    </w:p>
    <w:bookmarkEnd w:id="113"/>
    <w:p w:rsidR="00B4464C" w:rsidRPr="00A5720B" w:rsidRDefault="00B4464C" w:rsidP="00D06818">
      <w:pPr>
        <w:spacing w:after="0"/>
        <w:jc w:val="both"/>
        <w:rPr>
          <w:rFonts w:cs="Times New Roman"/>
          <w:lang w:val="fr-FR"/>
        </w:rPr>
      </w:pPr>
      <w:r w:rsidRPr="00A5720B">
        <w:rPr>
          <w:rFonts w:cs="Times New Roman"/>
          <w:lang w:val="fr-FR"/>
        </w:rPr>
        <w:t xml:space="preserve">Au Niger, la pyramide  sanitaire est organisée selon les directives de l’OMS pour l’organisation des soins de santé, autour de trois niveaux : (i) le niveau périphérique : les Soins de Santé Primaires (SSP), fournis par des structures de premier contact à la majorité de la population ; (ii) le niveau régional : les soins secondaires fournis par les hôpitaux régionaux et les Centres de Santé Mère-Enfant (CSME), et (iii) au sommet de la pyramide des soins tertiaires offerts par des hôpitaux nationaux et des centres spécialisés. </w:t>
      </w:r>
    </w:p>
    <w:p w:rsidR="00B4464C" w:rsidRPr="00A5720B" w:rsidRDefault="00B4464C" w:rsidP="00921787">
      <w:pPr>
        <w:jc w:val="both"/>
        <w:rPr>
          <w:rFonts w:cs="Times New Roman"/>
          <w:lang w:val="fr-FR"/>
        </w:rPr>
      </w:pPr>
      <w:r w:rsidRPr="00A5720B">
        <w:rPr>
          <w:rFonts w:cs="Times New Roman"/>
          <w:lang w:val="fr-FR"/>
        </w:rPr>
        <w:t>Le Niger compte au niveau périphérique soixante-douze (72) districts sanitaires constitués de trente-six (36) Hôpitaux de Districts, neuf cents treize (913</w:t>
      </w:r>
      <w:r w:rsidR="00921787" w:rsidRPr="00A5720B">
        <w:rPr>
          <w:rFonts w:cs="Times New Roman"/>
          <w:lang w:val="fr-FR"/>
        </w:rPr>
        <w:t>) Centres</w:t>
      </w:r>
      <w:r w:rsidRPr="00A5720B">
        <w:rPr>
          <w:rFonts w:cs="Times New Roman"/>
          <w:lang w:val="fr-FR"/>
        </w:rPr>
        <w:t xml:space="preserve"> de Santé Intégrés et deux mille sept cent soixante-sept (2767) Cases de Santé. </w:t>
      </w:r>
    </w:p>
    <w:p w:rsidR="00B4464C" w:rsidRPr="00A5720B" w:rsidRDefault="00B4464C" w:rsidP="00921787">
      <w:pPr>
        <w:jc w:val="both"/>
        <w:rPr>
          <w:rFonts w:cs="Times New Roman"/>
          <w:lang w:val="fr-FR"/>
        </w:rPr>
      </w:pPr>
      <w:r w:rsidRPr="00A5720B">
        <w:rPr>
          <w:rFonts w:cs="Times New Roman"/>
          <w:lang w:val="fr-FR"/>
        </w:rPr>
        <w:t xml:space="preserve">Au niveau régional, huit (8) directions régionales de santé publique constituées de huit (8) centres hospitaliers régionaux et sept (7) Centres de la Santé de la Mère et de l’Enfant. </w:t>
      </w:r>
    </w:p>
    <w:p w:rsidR="00B4464C" w:rsidRPr="00A5720B" w:rsidRDefault="00B4464C" w:rsidP="00921787">
      <w:pPr>
        <w:jc w:val="both"/>
        <w:rPr>
          <w:rFonts w:cs="Times New Roman"/>
          <w:lang w:val="fr-FR"/>
        </w:rPr>
      </w:pPr>
      <w:r w:rsidRPr="00A5720B">
        <w:rPr>
          <w:rFonts w:cs="Times New Roman"/>
          <w:lang w:val="fr-FR"/>
        </w:rPr>
        <w:t>Au niveau central, le ministère de la santé publique avec trois (3) hôpitaux nationaux, une (1) maternité nationale de référence, et douze (12</w:t>
      </w:r>
      <w:r w:rsidR="00921787" w:rsidRPr="00A5720B">
        <w:rPr>
          <w:rFonts w:cs="Times New Roman"/>
          <w:lang w:val="fr-FR"/>
        </w:rPr>
        <w:t>) centres</w:t>
      </w:r>
      <w:r w:rsidRPr="00A5720B">
        <w:rPr>
          <w:rFonts w:cs="Times New Roman"/>
          <w:lang w:val="fr-FR"/>
        </w:rPr>
        <w:t xml:space="preserve"> de référence. </w:t>
      </w:r>
    </w:p>
    <w:p w:rsidR="00B4464C" w:rsidRPr="00A5720B" w:rsidRDefault="00B4464C" w:rsidP="00921787">
      <w:pPr>
        <w:jc w:val="both"/>
        <w:rPr>
          <w:rFonts w:cs="Times New Roman"/>
          <w:bCs/>
          <w:i/>
          <w:sz w:val="24"/>
          <w:szCs w:val="24"/>
          <w:lang w:val="fr-FR"/>
        </w:rPr>
      </w:pPr>
    </w:p>
    <w:p w:rsidR="00B4464C" w:rsidRDefault="00B4464C" w:rsidP="00921787">
      <w:pPr>
        <w:jc w:val="both"/>
        <w:rPr>
          <w:rFonts w:cs="Times New Roman"/>
          <w:bCs/>
          <w:sz w:val="24"/>
          <w:szCs w:val="24"/>
          <w:lang w:val="fr-FR"/>
        </w:rPr>
      </w:pPr>
    </w:p>
    <w:p w:rsidR="00A5720B" w:rsidRDefault="00A5720B" w:rsidP="00921787">
      <w:pPr>
        <w:jc w:val="both"/>
        <w:rPr>
          <w:rFonts w:cs="Times New Roman"/>
          <w:bCs/>
          <w:sz w:val="24"/>
          <w:szCs w:val="24"/>
          <w:lang w:val="fr-FR"/>
        </w:rPr>
      </w:pPr>
    </w:p>
    <w:p w:rsidR="00A5720B" w:rsidRPr="00A5720B" w:rsidRDefault="00A5720B" w:rsidP="00921787">
      <w:pPr>
        <w:jc w:val="both"/>
        <w:rPr>
          <w:rFonts w:cs="Times New Roman"/>
          <w:bCs/>
          <w:sz w:val="24"/>
          <w:szCs w:val="24"/>
          <w:lang w:val="fr-FR"/>
        </w:rPr>
      </w:pPr>
    </w:p>
    <w:p w:rsidR="00A5720B" w:rsidRDefault="00A5720B" w:rsidP="00921787">
      <w:pPr>
        <w:jc w:val="both"/>
        <w:rPr>
          <w:rFonts w:cs="Times New Roman"/>
          <w:bCs/>
          <w:sz w:val="24"/>
          <w:szCs w:val="24"/>
          <w:lang w:val="fr-FR"/>
        </w:rPr>
      </w:pPr>
    </w:p>
    <w:p w:rsidR="004F1209" w:rsidRPr="0079228E" w:rsidRDefault="00364DA0" w:rsidP="00A5720B">
      <w:pPr>
        <w:pStyle w:val="JhpBodyText"/>
        <w:rPr>
          <w:rFonts w:eastAsiaTheme="minorHAnsi"/>
          <w:b/>
          <w:color w:val="44546A" w:themeColor="text2"/>
          <w:lang w:val="fr-FR"/>
        </w:rPr>
      </w:pPr>
      <w:r w:rsidRPr="0079228E">
        <w:rPr>
          <w:rFonts w:eastAsiaTheme="minorHAnsi"/>
          <w:b/>
          <w:color w:val="44546A" w:themeColor="text2"/>
          <w:lang w:val="fr-FR"/>
        </w:rPr>
        <w:t>Figure</w:t>
      </w:r>
      <w:r w:rsidR="0079228E">
        <w:rPr>
          <w:rFonts w:eastAsiaTheme="minorHAnsi"/>
          <w:b/>
          <w:color w:val="44546A" w:themeColor="text2"/>
          <w:lang w:val="fr-FR"/>
        </w:rPr>
        <w:t xml:space="preserve"> 1</w:t>
      </w:r>
      <w:r w:rsidRPr="0079228E">
        <w:rPr>
          <w:rFonts w:eastAsiaTheme="minorHAnsi"/>
          <w:b/>
          <w:color w:val="44546A" w:themeColor="text2"/>
          <w:lang w:val="fr-FR"/>
        </w:rPr>
        <w:t xml:space="preserve"> :</w:t>
      </w:r>
      <w:r w:rsidR="004118BF" w:rsidRPr="0079228E">
        <w:rPr>
          <w:rFonts w:eastAsiaTheme="minorHAnsi"/>
          <w:b/>
          <w:color w:val="44546A" w:themeColor="text2"/>
          <w:lang w:val="fr-FR"/>
        </w:rPr>
        <w:t xml:space="preserve"> </w:t>
      </w:r>
      <w:r w:rsidR="004118BF" w:rsidRPr="0079228E">
        <w:rPr>
          <w:rFonts w:eastAsiaTheme="minorHAnsi"/>
          <w:color w:val="44546A" w:themeColor="text2"/>
          <w:lang w:val="fr-FR"/>
        </w:rPr>
        <w:t>Pyramide s</w:t>
      </w:r>
      <w:r w:rsidR="0079228E" w:rsidRPr="0079228E">
        <w:rPr>
          <w:rFonts w:eastAsiaTheme="minorHAnsi"/>
          <w:color w:val="44546A" w:themeColor="text2"/>
          <w:lang w:val="fr-FR"/>
        </w:rPr>
        <w:t>anitaire du système de santé du Niger</w:t>
      </w:r>
    </w:p>
    <w:p w:rsidR="00B4464C" w:rsidRPr="0079228E" w:rsidRDefault="00B4464C" w:rsidP="00921787">
      <w:pPr>
        <w:jc w:val="both"/>
        <w:rPr>
          <w:rFonts w:cs="Times New Roman"/>
          <w:bCs/>
          <w:i/>
          <w:sz w:val="2"/>
          <w:szCs w:val="24"/>
          <w:lang w:val="fr-FR"/>
        </w:rPr>
      </w:pPr>
    </w:p>
    <w:p w:rsidR="00B4464C" w:rsidRPr="00A5720B" w:rsidRDefault="0079228E" w:rsidP="00B4464C">
      <w:pPr>
        <w:rPr>
          <w:rFonts w:cs="Times New Roman"/>
          <w:lang w:val="fr-FR"/>
        </w:rPr>
      </w:pPr>
      <w:r w:rsidRPr="0079228E">
        <w:rPr>
          <w:rFonts w:cs="Times New Roman"/>
          <w:bCs/>
          <w:i/>
          <w:noProof/>
          <w:sz w:val="2"/>
          <w:szCs w:val="24"/>
        </w:rPr>
        <mc:AlternateContent>
          <mc:Choice Requires="wpg">
            <w:drawing>
              <wp:anchor distT="0" distB="0" distL="114300" distR="114300" simplePos="0" relativeHeight="251670528" behindDoc="0" locked="0" layoutInCell="1" allowOverlap="1" wp14:anchorId="5410B42A" wp14:editId="1FDC8E92">
                <wp:simplePos x="0" y="0"/>
                <wp:positionH relativeFrom="column">
                  <wp:posOffset>361950</wp:posOffset>
                </wp:positionH>
                <wp:positionV relativeFrom="paragraph">
                  <wp:posOffset>27305</wp:posOffset>
                </wp:positionV>
                <wp:extent cx="5467351" cy="2889250"/>
                <wp:effectExtent l="0" t="0" r="19050" b="25400"/>
                <wp:wrapNone/>
                <wp:docPr id="20" name="Group 20"/>
                <wp:cNvGraphicFramePr/>
                <a:graphic xmlns:a="http://schemas.openxmlformats.org/drawingml/2006/main">
                  <a:graphicData uri="http://schemas.microsoft.com/office/word/2010/wordprocessingGroup">
                    <wpg:wgp>
                      <wpg:cNvGrpSpPr/>
                      <wpg:grpSpPr>
                        <a:xfrm>
                          <a:off x="0" y="0"/>
                          <a:ext cx="5467351" cy="2889250"/>
                          <a:chOff x="0" y="0"/>
                          <a:chExt cx="5467870" cy="2889519"/>
                        </a:xfrm>
                      </wpg:grpSpPr>
                      <wps:wsp>
                        <wps:cNvPr id="3" name="Rectangle à coins arrondis 3"/>
                        <wps:cNvSpPr/>
                        <wps:spPr>
                          <a:xfrm>
                            <a:off x="3753204" y="21265"/>
                            <a:ext cx="1692436" cy="385173"/>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177290" w:rsidRDefault="00177290" w:rsidP="00B4464C">
                              <w:pPr>
                                <w:jc w:val="center"/>
                              </w:pPr>
                              <w:r>
                                <w:t>STRUCTURE D’APPUI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cteur droit 6"/>
                        <wps:cNvCnPr/>
                        <wps:spPr>
                          <a:xfrm>
                            <a:off x="184179" y="1071323"/>
                            <a:ext cx="5168683" cy="0"/>
                          </a:xfrm>
                          <a:prstGeom prst="line">
                            <a:avLst/>
                          </a:prstGeom>
                        </wps:spPr>
                        <wps:style>
                          <a:lnRef idx="2">
                            <a:schemeClr val="dk1"/>
                          </a:lnRef>
                          <a:fillRef idx="0">
                            <a:schemeClr val="dk1"/>
                          </a:fillRef>
                          <a:effectRef idx="1">
                            <a:schemeClr val="dk1"/>
                          </a:effectRef>
                          <a:fontRef idx="minor">
                            <a:schemeClr val="tx1"/>
                          </a:fontRef>
                        </wps:style>
                        <wps:bodyPr/>
                      </wps:wsp>
                      <wps:wsp>
                        <wps:cNvPr id="7" name="Connecteur droit 7"/>
                        <wps:cNvCnPr/>
                        <wps:spPr>
                          <a:xfrm>
                            <a:off x="7074" y="2136233"/>
                            <a:ext cx="5093661" cy="0"/>
                          </a:xfrm>
                          <a:prstGeom prst="line">
                            <a:avLst/>
                          </a:prstGeom>
                        </wps:spPr>
                        <wps:style>
                          <a:lnRef idx="2">
                            <a:schemeClr val="dk1"/>
                          </a:lnRef>
                          <a:fillRef idx="0">
                            <a:schemeClr val="dk1"/>
                          </a:fillRef>
                          <a:effectRef idx="1">
                            <a:schemeClr val="dk1"/>
                          </a:effectRef>
                          <a:fontRef idx="minor">
                            <a:schemeClr val="tx1"/>
                          </a:fontRef>
                        </wps:style>
                        <wps:bodyPr/>
                      </wps:wsp>
                      <wps:wsp>
                        <wps:cNvPr id="5" name="Rectangle 5"/>
                        <wps:cNvSpPr/>
                        <wps:spPr>
                          <a:xfrm>
                            <a:off x="7074" y="617123"/>
                            <a:ext cx="1390059"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177290" w:rsidRDefault="00177290" w:rsidP="00B4464C">
                              <w:pPr>
                                <w:jc w:val="center"/>
                              </w:pPr>
                              <w:r>
                                <w:t>HN/MN/</w:t>
                              </w:r>
                              <w:proofErr w:type="spellStart"/>
                              <w:proofErr w:type="gramStart"/>
                              <w:r>
                                <w:t>C.Ref</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8826" y="1520456"/>
                            <a:ext cx="1409111" cy="285750"/>
                          </a:xfrm>
                          <a:prstGeom prst="rect">
                            <a:avLst/>
                          </a:prstGeom>
                        </wps:spPr>
                        <wps:style>
                          <a:lnRef idx="2">
                            <a:schemeClr val="accent1"/>
                          </a:lnRef>
                          <a:fillRef idx="1">
                            <a:schemeClr val="lt1"/>
                          </a:fillRef>
                          <a:effectRef idx="0">
                            <a:schemeClr val="accent1"/>
                          </a:effectRef>
                          <a:fontRef idx="minor">
                            <a:schemeClr val="dk1"/>
                          </a:fontRef>
                        </wps:style>
                        <wps:txbx>
                          <w:txbxContent>
                            <w:p w:rsidR="00177290" w:rsidRDefault="00177290" w:rsidP="00B4464C">
                              <w:pPr>
                                <w:jc w:val="center"/>
                              </w:pPr>
                              <w:r>
                                <w:t>CHR/CSME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à coins arrondis 4"/>
                        <wps:cNvSpPr/>
                        <wps:spPr>
                          <a:xfrm>
                            <a:off x="0" y="0"/>
                            <a:ext cx="1778169" cy="400087"/>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177290" w:rsidRDefault="00177290" w:rsidP="00B4464C">
                              <w:pPr>
                                <w:jc w:val="center"/>
                              </w:pPr>
                              <w:r>
                                <w:t>STRUCTURE DE SOINS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3795" y="2585491"/>
                            <a:ext cx="1403194" cy="304028"/>
                          </a:xfrm>
                          <a:prstGeom prst="rect">
                            <a:avLst/>
                          </a:prstGeom>
                        </wps:spPr>
                        <wps:style>
                          <a:lnRef idx="2">
                            <a:schemeClr val="accent1"/>
                          </a:lnRef>
                          <a:fillRef idx="1">
                            <a:schemeClr val="lt1"/>
                          </a:fillRef>
                          <a:effectRef idx="0">
                            <a:schemeClr val="accent1"/>
                          </a:effectRef>
                          <a:fontRef idx="minor">
                            <a:schemeClr val="dk1"/>
                          </a:fontRef>
                        </wps:style>
                        <wps:txbx>
                          <w:txbxContent>
                            <w:p w:rsidR="00177290" w:rsidRDefault="00177290" w:rsidP="00457B3D">
                              <w:pPr>
                                <w:jc w:val="center"/>
                              </w:pPr>
                              <w:r>
                                <w:t>HD – CSI - 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800835" y="558853"/>
                            <a:ext cx="1644804" cy="279426"/>
                          </a:xfrm>
                          <a:prstGeom prst="rect">
                            <a:avLst/>
                          </a:prstGeom>
                        </wps:spPr>
                        <wps:style>
                          <a:lnRef idx="2">
                            <a:schemeClr val="accent1"/>
                          </a:lnRef>
                          <a:fillRef idx="1">
                            <a:schemeClr val="lt1"/>
                          </a:fillRef>
                          <a:effectRef idx="0">
                            <a:schemeClr val="accent1"/>
                          </a:effectRef>
                          <a:fontRef idx="minor">
                            <a:schemeClr val="dk1"/>
                          </a:fontRef>
                        </wps:style>
                        <wps:txbx>
                          <w:txbxContent>
                            <w:p w:rsidR="00177290" w:rsidRDefault="00177290" w:rsidP="00B4464C">
                              <w:pPr>
                                <w:jc w:val="center"/>
                              </w:pPr>
                              <w:proofErr w:type="spellStart"/>
                              <w:r>
                                <w:t>Ministère</w:t>
                              </w:r>
                              <w:proofErr w:type="spellEnd"/>
                              <w:r>
                                <w:t xml:space="preserve"> de la Santé Pub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791311" y="1477927"/>
                            <a:ext cx="1676559" cy="274838"/>
                          </a:xfrm>
                          <a:prstGeom prst="rect">
                            <a:avLst/>
                          </a:prstGeom>
                        </wps:spPr>
                        <wps:style>
                          <a:lnRef idx="2">
                            <a:schemeClr val="accent1"/>
                          </a:lnRef>
                          <a:fillRef idx="1">
                            <a:schemeClr val="lt1"/>
                          </a:fillRef>
                          <a:effectRef idx="0">
                            <a:schemeClr val="accent1"/>
                          </a:effectRef>
                          <a:fontRef idx="minor">
                            <a:schemeClr val="dk1"/>
                          </a:fontRef>
                        </wps:style>
                        <wps:txbx>
                          <w:txbxContent>
                            <w:p w:rsidR="00177290" w:rsidRPr="00457B3D" w:rsidRDefault="00177290" w:rsidP="00B4464C">
                              <w:pPr>
                                <w:jc w:val="center"/>
                                <w:rPr>
                                  <w:lang w:val="fr-FR"/>
                                </w:rPr>
                              </w:pPr>
                              <w:proofErr w:type="spellStart"/>
                              <w:r w:rsidRPr="00457B3D">
                                <w:rPr>
                                  <w:lang w:val="fr-FR"/>
                                </w:rPr>
                                <w:t>Dir</w:t>
                              </w:r>
                              <w:proofErr w:type="spellEnd"/>
                              <w:r w:rsidRPr="00457B3D">
                                <w:rPr>
                                  <w:lang w:val="fr-FR"/>
                                </w:rPr>
                                <w:t xml:space="preserve"> </w:t>
                              </w:r>
                              <w:proofErr w:type="spellStart"/>
                              <w:r w:rsidRPr="00457B3D">
                                <w:rPr>
                                  <w:lang w:val="fr-FR"/>
                                </w:rPr>
                                <w:t>Rég</w:t>
                              </w:r>
                              <w:proofErr w:type="spellEnd"/>
                              <w:r w:rsidRPr="00457B3D">
                                <w:rPr>
                                  <w:lang w:val="fr-FR"/>
                                </w:rPr>
                                <w:t xml:space="preserve"> de la Santé P</w:t>
                              </w:r>
                              <w:r>
                                <w:rPr>
                                  <w:lang w:val="fr-FR"/>
                                </w:rPr>
                                <w:t>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026283" y="2604978"/>
                            <a:ext cx="1440957" cy="271841"/>
                          </a:xfrm>
                          <a:prstGeom prst="rect">
                            <a:avLst/>
                          </a:prstGeom>
                        </wps:spPr>
                        <wps:style>
                          <a:lnRef idx="2">
                            <a:schemeClr val="accent1"/>
                          </a:lnRef>
                          <a:fillRef idx="1">
                            <a:schemeClr val="lt1"/>
                          </a:fillRef>
                          <a:effectRef idx="0">
                            <a:schemeClr val="accent1"/>
                          </a:effectRef>
                          <a:fontRef idx="minor">
                            <a:schemeClr val="dk1"/>
                          </a:fontRef>
                        </wps:style>
                        <wps:txbx>
                          <w:txbxContent>
                            <w:p w:rsidR="00177290" w:rsidRDefault="00177290" w:rsidP="00B4464C">
                              <w:pPr>
                                <w:jc w:val="center"/>
                              </w:pPr>
                              <w:r>
                                <w:t>District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10B42A" id="Group 20" o:spid="_x0000_s1026" style="position:absolute;margin-left:28.5pt;margin-top:2.15pt;width:430.5pt;height:227.5pt;z-index:251670528;mso-width-relative:margin;mso-height-relative:margin" coordsize="54678,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">
                <v:roundrect id="Rectangle à coins arrondis 3" o:spid="_x0000_s1027" style="position:absolute;left:37532;top:212;width:16924;height:3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" fillcolor="#4472c4 [3208]" strokecolor="white [3201]" strokeweight="1.5pt">
                  <v:stroke joinstyle="miter"/>
                  <v:textbox>
                    <w:txbxContent>
                      <w:p w:rsidR="00177290" w:rsidRDefault="00177290" w:rsidP="00B4464C">
                        <w:pPr>
                          <w:jc w:val="center"/>
                        </w:pPr>
                        <w:r>
                          <w:t>STRUCTURE D’APPUI</w:t>
                        </w:r>
                      </w:p>
                    </w:txbxContent>
                  </v:textbox>
                </v:roundrect>
                <v:line id="Connecteur droit 6" o:spid="_x0000_s1028" style="position:absolute;visibility:visible;mso-wrap-style:square" from="1841,10713" to="53528,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" strokecolor="black [3200]" strokeweight="1pt">
                  <v:stroke joinstyle="miter"/>
                </v:line>
                <v:line id="Connecteur droit 7" o:spid="_x0000_s1029" style="position:absolute;visibility:visible;mso-wrap-style:square" from="70,21362" to="51007,2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" strokecolor="black [3200]" strokeweight="1pt">
                  <v:stroke joinstyle="miter"/>
                </v:line>
                <v:rect id="Rectangle 5" o:spid="_x0000_s1030" style="position:absolute;left:70;top:6171;width:1390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" fillcolor="white [3201]" strokecolor="#5b9bd5 [3204]" strokeweight="1pt">
                  <v:textbox>
                    <w:txbxContent>
                      <w:p w:rsidR="00177290" w:rsidRDefault="00177290" w:rsidP="00B4464C">
                        <w:pPr>
                          <w:jc w:val="center"/>
                        </w:pPr>
                        <w:r>
                          <w:t>HN/MN/</w:t>
                        </w:r>
                        <w:proofErr w:type="spellStart"/>
                        <w:proofErr w:type="gramStart"/>
                        <w:r>
                          <w:t>C.Ref</w:t>
                        </w:r>
                        <w:proofErr w:type="spellEnd"/>
                        <w:proofErr w:type="gramEnd"/>
                      </w:p>
                    </w:txbxContent>
                  </v:textbox>
                </v:rect>
                <v:rect id="Rectangle 9" o:spid="_x0000_s1031" style="position:absolute;left:388;top:15204;width:1409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" fillcolor="white [3201]" strokecolor="#5b9bd5 [3204]" strokeweight="1pt">
                  <v:textbox>
                    <w:txbxContent>
                      <w:p w:rsidR="00177290" w:rsidRDefault="00177290" w:rsidP="00B4464C">
                        <w:pPr>
                          <w:jc w:val="center"/>
                        </w:pPr>
                        <w:r>
                          <w:t>CHR/CSME</w:t>
                        </w:r>
                      </w:p>
                    </w:txbxContent>
                  </v:textbox>
                </v:rect>
                <v:roundrect id="Rectangle à coins arrondis 4" o:spid="_x0000_s1032" style="position:absolute;width:17781;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" fillcolor="#4472c4 [3208]" strokecolor="white [3201]" strokeweight="1.5pt">
                  <v:stroke joinstyle="miter"/>
                  <v:textbox>
                    <w:txbxContent>
                      <w:p w:rsidR="00177290" w:rsidRDefault="00177290" w:rsidP="00B4464C">
                        <w:pPr>
                          <w:jc w:val="center"/>
                        </w:pPr>
                        <w:r>
                          <w:t>STRUCTURE DE SOINS</w:t>
                        </w:r>
                      </w:p>
                    </w:txbxContent>
                  </v:textbox>
                </v:roundrect>
                <v:rect id="Rectangle 10" o:spid="_x0000_s1033" style="position:absolute;left:637;top:25854;width:14032;height:3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" fillcolor="white [3201]" strokecolor="#5b9bd5 [3204]" strokeweight="1pt">
                  <v:textbox>
                    <w:txbxContent>
                      <w:p w:rsidR="00177290" w:rsidRDefault="00177290" w:rsidP="00457B3D">
                        <w:pPr>
                          <w:jc w:val="center"/>
                        </w:pPr>
                        <w:r>
                          <w:t>HD – CSI - CS</w:t>
                        </w:r>
                      </w:p>
                    </w:txbxContent>
                  </v:textbox>
                </v:rect>
                <v:rect id="Rectangle 11" o:spid="_x0000_s1034" style="position:absolute;left:38008;top:5588;width:1644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" fillcolor="white [3201]" strokecolor="#5b9bd5 [3204]" strokeweight="1pt">
                  <v:textbox>
                    <w:txbxContent>
                      <w:p w:rsidR="00177290" w:rsidRDefault="00177290" w:rsidP="00B4464C">
                        <w:pPr>
                          <w:jc w:val="center"/>
                        </w:pPr>
                        <w:proofErr w:type="spellStart"/>
                        <w:r>
                          <w:t>Ministère</w:t>
                        </w:r>
                        <w:proofErr w:type="spellEnd"/>
                        <w:r>
                          <w:t xml:space="preserve"> de la Santé Pub</w:t>
                        </w:r>
                      </w:p>
                    </w:txbxContent>
                  </v:textbox>
                </v:rect>
                <v:rect id="Rectangle 12" o:spid="_x0000_s1035" style="position:absolute;left:37913;top:14779;width:16765;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" fillcolor="white [3201]" strokecolor="#5b9bd5 [3204]" strokeweight="1pt">
                  <v:textbox>
                    <w:txbxContent>
                      <w:p w:rsidR="00177290" w:rsidRPr="00457B3D" w:rsidRDefault="00177290" w:rsidP="00B4464C">
                        <w:pPr>
                          <w:jc w:val="center"/>
                          <w:rPr>
                            <w:lang w:val="fr-FR"/>
                          </w:rPr>
                        </w:pPr>
                        <w:proofErr w:type="spellStart"/>
                        <w:r w:rsidRPr="00457B3D">
                          <w:rPr>
                            <w:lang w:val="fr-FR"/>
                          </w:rPr>
                          <w:t>Dir</w:t>
                        </w:r>
                        <w:proofErr w:type="spellEnd"/>
                        <w:r w:rsidRPr="00457B3D">
                          <w:rPr>
                            <w:lang w:val="fr-FR"/>
                          </w:rPr>
                          <w:t xml:space="preserve"> </w:t>
                        </w:r>
                        <w:proofErr w:type="spellStart"/>
                        <w:r w:rsidRPr="00457B3D">
                          <w:rPr>
                            <w:lang w:val="fr-FR"/>
                          </w:rPr>
                          <w:t>Rég</w:t>
                        </w:r>
                        <w:proofErr w:type="spellEnd"/>
                        <w:r w:rsidRPr="00457B3D">
                          <w:rPr>
                            <w:lang w:val="fr-FR"/>
                          </w:rPr>
                          <w:t xml:space="preserve"> de la Santé P</w:t>
                        </w:r>
                        <w:r>
                          <w:rPr>
                            <w:lang w:val="fr-FR"/>
                          </w:rPr>
                          <w:t>ub</w:t>
                        </w:r>
                      </w:p>
                    </w:txbxContent>
                  </v:textbox>
                </v:rect>
                <v:rect id="Rectangle 13" o:spid="_x0000_s1036" style="position:absolute;left:40262;top:26049;width:14410;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" fillcolor="white [3201]" strokecolor="#5b9bd5 [3204]" strokeweight="1pt">
                  <v:textbox>
                    <w:txbxContent>
                      <w:p w:rsidR="00177290" w:rsidRDefault="00177290" w:rsidP="00B4464C">
                        <w:pPr>
                          <w:jc w:val="center"/>
                        </w:pPr>
                        <w:r>
                          <w:t>District de santé</w:t>
                        </w:r>
                      </w:p>
                    </w:txbxContent>
                  </v:textbox>
                </v:rect>
              </v:group>
            </w:pict>
          </mc:Fallback>
        </mc:AlternateContent>
      </w:r>
      <w:r w:rsidR="00B4464C" w:rsidRPr="00A5720B">
        <w:rPr>
          <w:rFonts w:cs="Times New Roman"/>
          <w:noProof/>
        </w:rPr>
        <w:drawing>
          <wp:inline distT="0" distB="0" distL="0" distR="0" wp14:anchorId="6B562C50" wp14:editId="63EED885">
            <wp:extent cx="5934075" cy="3232150"/>
            <wp:effectExtent l="19050" t="19050" r="47625" b="63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87719" w:rsidRPr="00A5720B" w:rsidRDefault="00B4464C" w:rsidP="0079228E">
      <w:pPr>
        <w:spacing w:after="120" w:line="240" w:lineRule="auto"/>
        <w:jc w:val="both"/>
        <w:rPr>
          <w:rFonts w:cs="Times New Roman"/>
          <w:bCs/>
          <w:lang w:val="fr-FR"/>
        </w:rPr>
      </w:pPr>
      <w:r w:rsidRPr="00A5720B">
        <w:rPr>
          <w:rFonts w:cs="Times New Roman"/>
          <w:bCs/>
          <w:lang w:val="fr-FR"/>
        </w:rPr>
        <w:t>Le pays enregistre une proportion de la population jeune est importante au Niger (69% selon le RGPH 2012) qui constitue une potentialité non négligeabl</w:t>
      </w:r>
      <w:r w:rsidR="00C74A14" w:rsidRPr="00A5720B">
        <w:rPr>
          <w:rFonts w:cs="Times New Roman"/>
          <w:bCs/>
          <w:lang w:val="fr-FR"/>
        </w:rPr>
        <w:t xml:space="preserve">e de nouvelles utilisatrices.  </w:t>
      </w:r>
    </w:p>
    <w:tbl>
      <w:tblPr>
        <w:tblStyle w:val="TableGrid"/>
        <w:tblpPr w:leftFromText="180" w:rightFromText="180" w:vertAnchor="text" w:horzAnchor="page" w:tblpX="1326" w:tblpY="293"/>
        <w:tblW w:w="0" w:type="auto"/>
        <w:tblLook w:val="04A0" w:firstRow="1" w:lastRow="0" w:firstColumn="1" w:lastColumn="0" w:noHBand="0" w:noVBand="1"/>
      </w:tblPr>
      <w:tblGrid>
        <w:gridCol w:w="9683"/>
      </w:tblGrid>
      <w:tr w:rsidR="00E63A18" w:rsidRPr="00FC1C39" w:rsidTr="00A5720B">
        <w:trPr>
          <w:trHeight w:val="1544"/>
        </w:trPr>
        <w:tc>
          <w:tcPr>
            <w:tcW w:w="9683" w:type="dxa"/>
            <w:tcBorders>
              <w:top w:val="single" w:sz="4" w:space="0" w:color="4472C4"/>
              <w:left w:val="single" w:sz="4" w:space="0" w:color="4472C4"/>
              <w:bottom w:val="single" w:sz="4" w:space="0" w:color="4472C4"/>
              <w:right w:val="single" w:sz="4" w:space="0" w:color="4472C4"/>
            </w:tcBorders>
          </w:tcPr>
          <w:p w:rsidR="00E63A18" w:rsidRPr="00A5720B" w:rsidRDefault="00E63A18" w:rsidP="00E63A18">
            <w:pPr>
              <w:jc w:val="both"/>
              <w:rPr>
                <w:rFonts w:cs="Times New Roman"/>
                <w:b/>
                <w:bCs/>
                <w:i/>
                <w:color w:val="4472C4" w:themeColor="accent5"/>
                <w:szCs w:val="24"/>
                <w:lang w:val="fr-FR"/>
              </w:rPr>
            </w:pPr>
            <w:r w:rsidRPr="00A5720B">
              <w:rPr>
                <w:rFonts w:cs="Times New Roman"/>
                <w:b/>
                <w:bCs/>
                <w:i/>
                <w:color w:val="4472C4" w:themeColor="accent5"/>
                <w:szCs w:val="24"/>
                <w:lang w:val="fr-FR"/>
              </w:rPr>
              <w:t>Encadre 1</w:t>
            </w:r>
            <w:r w:rsidR="00AA55D6" w:rsidRPr="00A5720B">
              <w:rPr>
                <w:rFonts w:cs="Times New Roman"/>
                <w:b/>
                <w:bCs/>
                <w:i/>
                <w:color w:val="4472C4" w:themeColor="accent5"/>
                <w:szCs w:val="24"/>
                <w:lang w:val="fr-FR"/>
              </w:rPr>
              <w:t> : indicateurs sociodémographiques inquiétants</w:t>
            </w:r>
          </w:p>
          <w:p w:rsidR="00E63A18" w:rsidRPr="00A5720B" w:rsidRDefault="00AA55D6" w:rsidP="00AA55D6">
            <w:pPr>
              <w:jc w:val="both"/>
              <w:rPr>
                <w:rFonts w:cs="Times New Roman"/>
                <w:bCs/>
                <w:i/>
                <w:szCs w:val="24"/>
                <w:lang w:val="fr-FR"/>
              </w:rPr>
            </w:pPr>
            <w:r w:rsidRPr="00A5720B">
              <w:rPr>
                <w:rFonts w:cs="Times New Roman"/>
                <w:bCs/>
                <w:i/>
                <w:szCs w:val="24"/>
                <w:lang w:val="fr-FR"/>
              </w:rPr>
              <w:t>L</w:t>
            </w:r>
            <w:r w:rsidR="00E63A18" w:rsidRPr="00A5720B">
              <w:rPr>
                <w:rFonts w:cs="Times New Roman"/>
                <w:bCs/>
                <w:i/>
                <w:szCs w:val="24"/>
                <w:lang w:val="fr-FR"/>
              </w:rPr>
              <w:t xml:space="preserve">e nombre de mariages précoces est élevé avec </w:t>
            </w:r>
            <w:r w:rsidR="00E63A18" w:rsidRPr="00A5720B">
              <w:rPr>
                <w:rFonts w:cs="Times New Roman"/>
                <w:i/>
                <w:szCs w:val="24"/>
                <w:lang w:val="fr-FR"/>
              </w:rPr>
              <w:t>76,3 % des femmes de 20 à 24 ans qui ont été mariées avant l’âge de 18 ans et 28% des femmes de 20 à 24 ans l’ont été avant l’âge de 15ans (EDSN 2012). Aussi, 75 % des femmes ont eu leur première grossesse à l’âge de 19 ans.  La demande des services est faible et les besoins non satisfaits en matière de planification familiale sont estimés à 16% selon l’EDSN 2012</w:t>
            </w:r>
          </w:p>
        </w:tc>
      </w:tr>
    </w:tbl>
    <w:p w:rsidR="00A5720B" w:rsidRDefault="00A5720B" w:rsidP="00921787">
      <w:pPr>
        <w:jc w:val="both"/>
        <w:rPr>
          <w:rFonts w:cs="Times New Roman"/>
          <w:sz w:val="24"/>
          <w:szCs w:val="24"/>
          <w:lang w:val="fr-FR"/>
        </w:rPr>
      </w:pPr>
    </w:p>
    <w:p w:rsidR="00C77A4E" w:rsidRDefault="00C77A4E" w:rsidP="00C77A4E">
      <w:pPr>
        <w:spacing w:after="0" w:line="240" w:lineRule="auto"/>
        <w:jc w:val="both"/>
        <w:rPr>
          <w:rFonts w:cs="Times New Roman"/>
          <w:szCs w:val="24"/>
          <w:lang w:val="fr-FR"/>
        </w:rPr>
      </w:pPr>
    </w:p>
    <w:p w:rsidR="00B4464C" w:rsidRPr="00A5720B" w:rsidRDefault="00B4464C" w:rsidP="00921787">
      <w:pPr>
        <w:jc w:val="both"/>
        <w:rPr>
          <w:rFonts w:cs="Times New Roman"/>
          <w:bCs/>
          <w:szCs w:val="24"/>
          <w:lang w:val="fr-FR"/>
        </w:rPr>
      </w:pPr>
      <w:r w:rsidRPr="00A5720B">
        <w:rPr>
          <w:rFonts w:cs="Times New Roman"/>
          <w:szCs w:val="24"/>
          <w:lang w:val="fr-FR"/>
        </w:rPr>
        <w:t>En effet, même si elles se marient pour faire des enfants, le besoin de contraception se fait ressentir très vite et malheureusement l’absence de satisfaction de ce besoin entraine une multiplicité des grossesses, des naissances trop rapprochées et des risques pour la santé de la jeune mère.</w:t>
      </w:r>
      <w:r w:rsidRPr="00A5720B">
        <w:rPr>
          <w:rFonts w:cs="Times New Roman"/>
          <w:bCs/>
          <w:szCs w:val="24"/>
          <w:lang w:val="fr-FR"/>
        </w:rPr>
        <w:t xml:space="preserve"> </w:t>
      </w:r>
    </w:p>
    <w:p w:rsidR="00B4464C" w:rsidRPr="00A5720B" w:rsidRDefault="00B4464C" w:rsidP="00921787">
      <w:pPr>
        <w:jc w:val="both"/>
        <w:rPr>
          <w:rFonts w:cs="Times New Roman"/>
          <w:bCs/>
          <w:szCs w:val="24"/>
          <w:lang w:val="fr-FR"/>
        </w:rPr>
      </w:pPr>
      <w:r w:rsidRPr="00A5720B">
        <w:rPr>
          <w:rFonts w:cs="Times New Roman"/>
          <w:bCs/>
          <w:szCs w:val="24"/>
          <w:lang w:val="fr-FR"/>
        </w:rPr>
        <w:t xml:space="preserve">A ceux-ci s’ajoutent les besoins en PF non exprimés qui bien que n’ayant pas fait l’objet encore d’une étude spécifique peuvent s’avérer importants. Si la tendance actuelle de la croissance démographique et du niveau des indicateurs sont maintenues, la population serait d’environ 34 millions d’habitants en 2030 et jusqu’à 58 millions en 2050. </w:t>
      </w:r>
    </w:p>
    <w:p w:rsidR="00B4464C" w:rsidRPr="00A5720B" w:rsidRDefault="00B4464C" w:rsidP="0079228E">
      <w:pPr>
        <w:spacing w:after="120" w:line="240" w:lineRule="auto"/>
        <w:jc w:val="both"/>
        <w:rPr>
          <w:rFonts w:cs="Times New Roman"/>
          <w:bCs/>
          <w:szCs w:val="24"/>
          <w:lang w:val="fr-FR"/>
        </w:rPr>
      </w:pPr>
      <w:r w:rsidRPr="00A5720B">
        <w:rPr>
          <w:rFonts w:cs="Times New Roman"/>
          <w:bCs/>
          <w:szCs w:val="24"/>
          <w:lang w:val="fr-FR"/>
        </w:rPr>
        <w:t xml:space="preserve">Pour faire face à ces défis, Le Niger a élaboré un plan d’action national budgétisé sur la planification familiale 2013-2020 qui s’articule autour de trois axes stratégiques : </w:t>
      </w:r>
    </w:p>
    <w:p w:rsidR="0079228E" w:rsidRDefault="00B4464C" w:rsidP="00361443">
      <w:pPr>
        <w:numPr>
          <w:ilvl w:val="0"/>
          <w:numId w:val="1"/>
        </w:numPr>
        <w:spacing w:after="120" w:line="240" w:lineRule="auto"/>
        <w:ind w:left="284" w:hanging="270"/>
        <w:jc w:val="both"/>
        <w:rPr>
          <w:rFonts w:cs="Times New Roman"/>
          <w:bCs/>
          <w:szCs w:val="24"/>
          <w:lang w:val="fr-FR"/>
        </w:rPr>
      </w:pPr>
      <w:r w:rsidRPr="00A5720B">
        <w:rPr>
          <w:rFonts w:cs="Times New Roman"/>
          <w:bCs/>
          <w:szCs w:val="24"/>
          <w:lang w:val="fr-FR"/>
        </w:rPr>
        <w:t>Le renforcement de l’offre des prestations de planification familiale à tous les niveaux du continuum de soins (communauté, services de santé publics et privés) ;</w:t>
      </w:r>
    </w:p>
    <w:p w:rsidR="0079228E" w:rsidRDefault="00B4464C" w:rsidP="00361443">
      <w:pPr>
        <w:numPr>
          <w:ilvl w:val="0"/>
          <w:numId w:val="1"/>
        </w:numPr>
        <w:spacing w:after="120" w:line="240" w:lineRule="auto"/>
        <w:ind w:left="284" w:hanging="270"/>
        <w:jc w:val="both"/>
        <w:rPr>
          <w:rFonts w:cs="Times New Roman"/>
          <w:bCs/>
          <w:szCs w:val="24"/>
          <w:lang w:val="fr-FR"/>
        </w:rPr>
      </w:pPr>
      <w:r w:rsidRPr="0079228E">
        <w:rPr>
          <w:rFonts w:cs="Times New Roman"/>
          <w:bCs/>
          <w:szCs w:val="24"/>
          <w:lang w:val="fr-FR"/>
        </w:rPr>
        <w:t>Le renforcement de la demande des prestations de planification familiale à tous les niveaux ;</w:t>
      </w:r>
    </w:p>
    <w:p w:rsidR="00B4464C" w:rsidRPr="0079228E" w:rsidRDefault="00B4464C" w:rsidP="00361443">
      <w:pPr>
        <w:numPr>
          <w:ilvl w:val="0"/>
          <w:numId w:val="1"/>
        </w:numPr>
        <w:spacing w:after="120" w:line="240" w:lineRule="auto"/>
        <w:ind w:left="284" w:hanging="270"/>
        <w:jc w:val="both"/>
        <w:rPr>
          <w:rFonts w:cs="Times New Roman"/>
          <w:bCs/>
          <w:szCs w:val="24"/>
          <w:lang w:val="fr-FR"/>
        </w:rPr>
      </w:pPr>
      <w:r w:rsidRPr="0079228E">
        <w:rPr>
          <w:rFonts w:cs="Times New Roman"/>
          <w:bCs/>
          <w:szCs w:val="24"/>
          <w:lang w:val="fr-FR"/>
        </w:rPr>
        <w:lastRenderedPageBreak/>
        <w:t xml:space="preserve">La promotion d’un environnement favorable à la planification familiale. </w:t>
      </w:r>
    </w:p>
    <w:p w:rsidR="0079228E" w:rsidRDefault="0079228E" w:rsidP="00921787">
      <w:pPr>
        <w:jc w:val="both"/>
        <w:rPr>
          <w:rFonts w:cs="Times New Roman"/>
          <w:bCs/>
          <w:szCs w:val="24"/>
          <w:lang w:val="fr-FR"/>
        </w:rPr>
      </w:pPr>
    </w:p>
    <w:p w:rsidR="00B4464C" w:rsidRPr="00A5720B" w:rsidRDefault="00B4464C" w:rsidP="00921787">
      <w:pPr>
        <w:jc w:val="both"/>
        <w:rPr>
          <w:rFonts w:cs="Times New Roman"/>
          <w:bCs/>
          <w:szCs w:val="24"/>
          <w:lang w:val="fr-FR"/>
        </w:rPr>
      </w:pPr>
      <w:r w:rsidRPr="00A5720B">
        <w:rPr>
          <w:rFonts w:cs="Times New Roman"/>
          <w:bCs/>
          <w:szCs w:val="24"/>
          <w:lang w:val="fr-FR"/>
        </w:rPr>
        <w:t xml:space="preserve">L’objectif global est d’atteindre un taux de prévalence contraceptive de 50% à l’horizon 2020, mais actuellement, le taux de prévalence contraceptive est de 18,1% (PMA 2020, 2017).   </w:t>
      </w:r>
    </w:p>
    <w:p w:rsidR="00B4464C" w:rsidRPr="00A5720B" w:rsidRDefault="00B4464C" w:rsidP="00921787">
      <w:pPr>
        <w:jc w:val="both"/>
        <w:rPr>
          <w:rFonts w:cs="Times New Roman"/>
          <w:bCs/>
          <w:szCs w:val="24"/>
          <w:lang w:val="fr-FR"/>
        </w:rPr>
      </w:pPr>
      <w:r w:rsidRPr="00A5720B">
        <w:rPr>
          <w:rFonts w:cs="Times New Roman"/>
          <w:bCs/>
          <w:szCs w:val="24"/>
          <w:lang w:val="fr-FR"/>
        </w:rPr>
        <w:t xml:space="preserve">Le pays a pris plusieurs engagements dans le cadre du Partenariat de Ouagadougou et de </w:t>
      </w:r>
      <w:proofErr w:type="spellStart"/>
      <w:r w:rsidRPr="00A5720B">
        <w:rPr>
          <w:rFonts w:cs="Times New Roman"/>
          <w:bCs/>
          <w:szCs w:val="24"/>
          <w:lang w:val="fr-FR"/>
        </w:rPr>
        <w:t>Family</w:t>
      </w:r>
      <w:proofErr w:type="spellEnd"/>
      <w:r w:rsidRPr="00A5720B">
        <w:rPr>
          <w:rFonts w:cs="Times New Roman"/>
          <w:bCs/>
          <w:szCs w:val="24"/>
          <w:lang w:val="fr-FR"/>
        </w:rPr>
        <w:t xml:space="preserve"> Planning 2020 qui s’articule autour des engagements politiques, financiers et programmatiques. </w:t>
      </w:r>
    </w:p>
    <w:p w:rsidR="00B4464C" w:rsidRPr="00A5720B" w:rsidRDefault="00B4464C" w:rsidP="00921787">
      <w:pPr>
        <w:jc w:val="both"/>
        <w:rPr>
          <w:rFonts w:cs="Times New Roman"/>
          <w:bCs/>
          <w:szCs w:val="24"/>
          <w:lang w:val="fr-FR"/>
        </w:rPr>
      </w:pPr>
      <w:r w:rsidRPr="00A5720B">
        <w:rPr>
          <w:rFonts w:cs="Times New Roman"/>
          <w:bCs/>
          <w:szCs w:val="24"/>
          <w:lang w:val="fr-FR"/>
        </w:rPr>
        <w:t xml:space="preserve">Au niveau programmatique et prestations de services, le gouvernement s’est engagé à accélérer la délégation des tâches du paquet des services SR/PF prenant en compte l’implant et les injectables (le renouvellement de ces engagements s’est fait lors du Sommet de Londres de juillet 2017), conformément aux recommandations du conseil des ministres de l’OOAS. </w:t>
      </w:r>
    </w:p>
    <w:p w:rsidR="00B4464C" w:rsidRPr="00A5720B" w:rsidRDefault="00B4464C" w:rsidP="00921787">
      <w:pPr>
        <w:jc w:val="both"/>
        <w:rPr>
          <w:rFonts w:cs="Times New Roman"/>
          <w:bCs/>
          <w:szCs w:val="24"/>
          <w:lang w:val="fr-FR"/>
        </w:rPr>
      </w:pPr>
      <w:r w:rsidRPr="00A5720B">
        <w:rPr>
          <w:rFonts w:cs="Times New Roman"/>
          <w:bCs/>
          <w:szCs w:val="24"/>
          <w:lang w:val="fr-FR"/>
        </w:rPr>
        <w:t xml:space="preserve">En matière de planification familiale, plusieurs mécanismes de coordination et/ou suivi ont été mis en place pour renforcer et catalyser les efforts : le comité technique de suivi du plan PF et le comité sur la sécurisation des produits SR. </w:t>
      </w:r>
    </w:p>
    <w:p w:rsidR="00B4464C" w:rsidRPr="00A5720B" w:rsidRDefault="00B4464C" w:rsidP="00921787">
      <w:pPr>
        <w:jc w:val="both"/>
        <w:rPr>
          <w:rFonts w:cs="Times New Roman"/>
          <w:bCs/>
          <w:szCs w:val="24"/>
          <w:lang w:val="fr-FR"/>
        </w:rPr>
      </w:pPr>
      <w:r w:rsidRPr="00A5720B">
        <w:rPr>
          <w:rFonts w:cs="Times New Roman"/>
          <w:bCs/>
          <w:szCs w:val="24"/>
          <w:lang w:val="fr-FR"/>
        </w:rPr>
        <w:t xml:space="preserve">Ce dernier, à travers les enquêtes sur la sécurisation des produits et services de santé de la reproduction (SPSR) fournit chaque année des rapports annuels qui donnent des informations relatives aux perceptions des clientes PF sur les services du Points de Prestation des Services (PPS) ainsi que sur </w:t>
      </w:r>
      <w:r w:rsidR="00921787" w:rsidRPr="00A5720B">
        <w:rPr>
          <w:rFonts w:cs="Times New Roman"/>
          <w:bCs/>
          <w:szCs w:val="24"/>
          <w:lang w:val="fr-FR"/>
        </w:rPr>
        <w:t>les trois</w:t>
      </w:r>
      <w:r w:rsidRPr="00A5720B">
        <w:rPr>
          <w:rFonts w:cs="Times New Roman"/>
          <w:bCs/>
          <w:szCs w:val="24"/>
          <w:lang w:val="fr-FR"/>
        </w:rPr>
        <w:t xml:space="preserve"> indicateurs de résultats du cadre de suivi et d’évaluation du</w:t>
      </w:r>
      <w:r w:rsidR="00921787" w:rsidRPr="00A5720B">
        <w:rPr>
          <w:rFonts w:cs="Times New Roman"/>
          <w:bCs/>
          <w:szCs w:val="24"/>
          <w:lang w:val="fr-FR"/>
        </w:rPr>
        <w:t xml:space="preserve"> </w:t>
      </w:r>
      <w:r w:rsidRPr="00A5720B">
        <w:rPr>
          <w:rFonts w:cs="Times New Roman"/>
          <w:bCs/>
          <w:szCs w:val="24"/>
          <w:lang w:val="fr-FR"/>
        </w:rPr>
        <w:t>programme mondial de sécurisation des produits de santé de la reproduction</w:t>
      </w:r>
      <w:r w:rsidR="00C74A14" w:rsidRPr="00A5720B">
        <w:rPr>
          <w:rFonts w:cs="Times New Roman"/>
          <w:bCs/>
          <w:szCs w:val="24"/>
          <w:lang w:val="fr-FR"/>
        </w:rPr>
        <w:t>.</w:t>
      </w:r>
    </w:p>
    <w:tbl>
      <w:tblPr>
        <w:tblStyle w:val="TableGrid"/>
        <w:tblpPr w:leftFromText="180" w:rightFromText="180" w:vertAnchor="text" w:horzAnchor="page" w:tblpX="1231" w:tblpY="293"/>
        <w:tblW w:w="0" w:type="auto"/>
        <w:tblLook w:val="04A0" w:firstRow="1" w:lastRow="0" w:firstColumn="1" w:lastColumn="0" w:noHBand="0" w:noVBand="1"/>
      </w:tblPr>
      <w:tblGrid>
        <w:gridCol w:w="9778"/>
      </w:tblGrid>
      <w:tr w:rsidR="00C74A14" w:rsidRPr="00FC1C39" w:rsidTr="00FA343C">
        <w:trPr>
          <w:trHeight w:val="1792"/>
        </w:trPr>
        <w:tc>
          <w:tcPr>
            <w:tcW w:w="9778" w:type="dxa"/>
            <w:tcBorders>
              <w:top w:val="single" w:sz="4" w:space="0" w:color="4472C4"/>
              <w:left w:val="single" w:sz="4" w:space="0" w:color="4472C4"/>
              <w:bottom w:val="single" w:sz="4" w:space="0" w:color="4472C4"/>
              <w:right w:val="single" w:sz="4" w:space="0" w:color="4472C4"/>
            </w:tcBorders>
          </w:tcPr>
          <w:p w:rsidR="00C74A14" w:rsidRPr="00A5720B" w:rsidRDefault="00C74A14" w:rsidP="00C74A14">
            <w:pPr>
              <w:jc w:val="both"/>
              <w:rPr>
                <w:rFonts w:cs="Times New Roman"/>
                <w:b/>
                <w:bCs/>
                <w:i/>
                <w:color w:val="4472C4" w:themeColor="accent5"/>
                <w:szCs w:val="24"/>
                <w:lang w:val="fr-FR"/>
              </w:rPr>
            </w:pPr>
            <w:r w:rsidRPr="00A5720B">
              <w:rPr>
                <w:rFonts w:cs="Times New Roman"/>
                <w:b/>
                <w:bCs/>
                <w:i/>
                <w:color w:val="4472C4" w:themeColor="accent5"/>
                <w:szCs w:val="24"/>
                <w:lang w:val="fr-FR"/>
              </w:rPr>
              <w:t>Encadre 2</w:t>
            </w:r>
            <w:r w:rsidR="00AA55D6" w:rsidRPr="00A5720B">
              <w:rPr>
                <w:rFonts w:cs="Times New Roman"/>
                <w:b/>
                <w:bCs/>
                <w:i/>
                <w:color w:val="4472C4" w:themeColor="accent5"/>
                <w:szCs w:val="24"/>
                <w:lang w:val="fr-FR"/>
              </w:rPr>
              <w:t> : proportion de point de prestation de service</w:t>
            </w:r>
          </w:p>
          <w:p w:rsidR="00C74A14" w:rsidRPr="00A5720B" w:rsidRDefault="00C74A14" w:rsidP="00C74A14">
            <w:pPr>
              <w:jc w:val="both"/>
              <w:rPr>
                <w:rFonts w:cs="Times New Roman"/>
                <w:bCs/>
                <w:i/>
                <w:szCs w:val="24"/>
                <w:lang w:val="fr-FR"/>
              </w:rPr>
            </w:pPr>
            <w:r w:rsidRPr="00A5720B">
              <w:rPr>
                <w:rFonts w:cs="Times New Roman"/>
                <w:bCs/>
                <w:i/>
                <w:szCs w:val="24"/>
                <w:lang w:val="fr-FR"/>
              </w:rPr>
              <w:t>a) la proportion des points de prestation de services proposant au moins trois m</w:t>
            </w:r>
            <w:r w:rsidR="00A62D05" w:rsidRPr="00A5720B">
              <w:rPr>
                <w:rFonts w:cs="Times New Roman"/>
                <w:bCs/>
                <w:i/>
                <w:szCs w:val="24"/>
                <w:lang w:val="fr-FR"/>
              </w:rPr>
              <w:t>oyens de</w:t>
            </w:r>
            <w:r w:rsidR="00A62D05" w:rsidRPr="00A5720B">
              <w:rPr>
                <w:rFonts w:cs="Times New Roman"/>
                <w:bCs/>
                <w:i/>
                <w:szCs w:val="24"/>
                <w:lang w:val="fr-FR"/>
              </w:rPr>
              <w:br/>
              <w:t>contraception modernes : i</w:t>
            </w:r>
            <w:r w:rsidRPr="00A5720B">
              <w:rPr>
                <w:rFonts w:cs="Times New Roman"/>
                <w:bCs/>
                <w:i/>
                <w:szCs w:val="24"/>
                <w:lang w:val="fr-FR"/>
              </w:rPr>
              <w:t>l ressort du rapport de l’enquête SPSR 2018 que 100% des PPS en proposent.</w:t>
            </w:r>
            <w:r w:rsidRPr="00A5720B">
              <w:rPr>
                <w:rFonts w:cs="Times New Roman"/>
                <w:bCs/>
                <w:i/>
                <w:szCs w:val="24"/>
                <w:lang w:val="fr-FR"/>
              </w:rPr>
              <w:br/>
              <w:t>b) la proportion de points de prestation de service, assurant des services d’accouchement, disposant</w:t>
            </w:r>
            <w:r w:rsidRPr="00A5720B">
              <w:rPr>
                <w:rFonts w:cs="Times New Roman"/>
                <w:bCs/>
                <w:i/>
                <w:szCs w:val="24"/>
                <w:lang w:val="fr-FR"/>
              </w:rPr>
              <w:br/>
              <w:t>des trois médicaments vitaux pour la santé maternelle/reproductive (sulfate de magnésium,</w:t>
            </w:r>
            <w:r w:rsidRPr="00A5720B">
              <w:rPr>
                <w:rFonts w:cs="Times New Roman"/>
                <w:bCs/>
                <w:i/>
                <w:szCs w:val="24"/>
                <w:lang w:val="fr-FR"/>
              </w:rPr>
              <w:br/>
              <w:t xml:space="preserve">ocytocine et </w:t>
            </w:r>
            <w:proofErr w:type="spellStart"/>
            <w:r w:rsidRPr="00A5720B">
              <w:rPr>
                <w:rFonts w:cs="Times New Roman"/>
                <w:bCs/>
                <w:i/>
                <w:szCs w:val="24"/>
                <w:lang w:val="fr-FR"/>
              </w:rPr>
              <w:t>misoprostol</w:t>
            </w:r>
            <w:proofErr w:type="spellEnd"/>
            <w:r w:rsidRPr="00A5720B">
              <w:rPr>
                <w:rFonts w:cs="Times New Roman"/>
                <w:bCs/>
                <w:i/>
                <w:szCs w:val="24"/>
                <w:lang w:val="fr-FR"/>
              </w:rPr>
              <w:t>)</w:t>
            </w:r>
            <w:r w:rsidR="00A62D05" w:rsidRPr="00A5720B">
              <w:rPr>
                <w:rFonts w:cs="Times New Roman"/>
                <w:bCs/>
                <w:i/>
                <w:szCs w:val="24"/>
                <w:lang w:val="fr-FR"/>
              </w:rPr>
              <w:t> :l</w:t>
            </w:r>
            <w:r w:rsidRPr="00A5720B">
              <w:rPr>
                <w:rFonts w:cs="Times New Roman"/>
                <w:bCs/>
                <w:i/>
                <w:szCs w:val="24"/>
                <w:lang w:val="fr-FR"/>
              </w:rPr>
              <w:t>es résultats 2018 du rapport SPSR démontrent que 79,8% disposent des trois médicaments vitaux.</w:t>
            </w:r>
          </w:p>
          <w:p w:rsidR="00C74A14" w:rsidRPr="00A5720B" w:rsidRDefault="00C74A14" w:rsidP="00C74A14">
            <w:pPr>
              <w:jc w:val="both"/>
              <w:rPr>
                <w:rFonts w:cs="Times New Roman"/>
                <w:bCs/>
                <w:i/>
                <w:szCs w:val="24"/>
                <w:lang w:val="fr-FR"/>
              </w:rPr>
            </w:pPr>
            <w:r w:rsidRPr="00A5720B">
              <w:rPr>
                <w:rFonts w:cs="Times New Roman"/>
                <w:bCs/>
                <w:i/>
                <w:szCs w:val="24"/>
                <w:lang w:val="fr-FR"/>
              </w:rPr>
              <w:t>c) la proportion de points de prestation de service qui n’ont pas connus de rupture des stocks de moyens de contraception a</w:t>
            </w:r>
            <w:r w:rsidR="00A62D05" w:rsidRPr="00A5720B">
              <w:rPr>
                <w:rFonts w:cs="Times New Roman"/>
                <w:bCs/>
                <w:i/>
                <w:szCs w:val="24"/>
                <w:lang w:val="fr-FR"/>
              </w:rPr>
              <w:t>u cours des trois derniers mois :</w:t>
            </w:r>
            <w:r w:rsidRPr="00A5720B">
              <w:rPr>
                <w:rFonts w:cs="Times New Roman"/>
                <w:i/>
                <w:szCs w:val="24"/>
                <w:lang w:val="fr-FR"/>
              </w:rPr>
              <w:t xml:space="preserve"> </w:t>
            </w:r>
            <w:r w:rsidR="00A62D05" w:rsidRPr="00A5720B">
              <w:rPr>
                <w:rFonts w:cs="Times New Roman"/>
                <w:i/>
                <w:szCs w:val="24"/>
                <w:lang w:val="fr-FR"/>
              </w:rPr>
              <w:t>l</w:t>
            </w:r>
            <w:r w:rsidRPr="00A5720B">
              <w:rPr>
                <w:rFonts w:cs="Times New Roman"/>
                <w:i/>
                <w:szCs w:val="24"/>
                <w:lang w:val="fr-FR"/>
              </w:rPr>
              <w:t xml:space="preserve">e rapport SPSR 2018 démontre que </w:t>
            </w:r>
            <w:r w:rsidRPr="00A5720B">
              <w:rPr>
                <w:rFonts w:cs="Times New Roman"/>
                <w:bCs/>
                <w:i/>
                <w:szCs w:val="24"/>
                <w:lang w:val="fr-FR"/>
              </w:rPr>
              <w:t>60,1% des PPS n’ont pas connu de rupture de stock au cours des trois (3) derniers mois ayant précédé l’enquête.</w:t>
            </w:r>
          </w:p>
          <w:p w:rsidR="00C74A14" w:rsidRPr="00A5720B" w:rsidRDefault="00C74A14" w:rsidP="00C74A14">
            <w:pPr>
              <w:jc w:val="both"/>
              <w:rPr>
                <w:rFonts w:cs="Times New Roman"/>
                <w:bCs/>
                <w:i/>
                <w:szCs w:val="24"/>
                <w:lang w:val="fr-FR"/>
              </w:rPr>
            </w:pPr>
          </w:p>
        </w:tc>
      </w:tr>
    </w:tbl>
    <w:p w:rsidR="00C74A14" w:rsidRPr="00A5720B" w:rsidRDefault="00C74A14" w:rsidP="00B4464C">
      <w:pPr>
        <w:rPr>
          <w:rFonts w:cs="Times New Roman"/>
          <w:bCs/>
          <w:sz w:val="24"/>
          <w:szCs w:val="24"/>
          <w:lang w:val="fr-FR"/>
        </w:rPr>
      </w:pPr>
    </w:p>
    <w:p w:rsidR="00C74A14" w:rsidRPr="0079228E" w:rsidRDefault="00C74A14" w:rsidP="00B4464C">
      <w:pPr>
        <w:rPr>
          <w:rFonts w:cs="Times New Roman"/>
          <w:bCs/>
          <w:sz w:val="2"/>
          <w:szCs w:val="24"/>
          <w:lang w:val="fr-FR"/>
        </w:rPr>
      </w:pPr>
    </w:p>
    <w:p w:rsidR="00B4464C" w:rsidRPr="00391E8C" w:rsidRDefault="00B4464C" w:rsidP="00177290">
      <w:pPr>
        <w:pStyle w:val="Style5"/>
        <w:ind w:left="0" w:firstLine="0"/>
      </w:pPr>
      <w:bookmarkStart w:id="114" w:name="_Toc19203078"/>
      <w:r w:rsidRPr="00391E8C">
        <w:t>État actuel du Niger dans le processus d’introduction et de passage à échelle du DMPA-SC</w:t>
      </w:r>
      <w:bookmarkEnd w:id="114"/>
      <w:r w:rsidRPr="00391E8C">
        <w:t xml:space="preserve"> </w:t>
      </w:r>
    </w:p>
    <w:p w:rsidR="0079228E" w:rsidRPr="0079228E" w:rsidRDefault="0079228E" w:rsidP="0079228E">
      <w:pPr>
        <w:spacing w:after="120" w:line="240" w:lineRule="auto"/>
        <w:jc w:val="both"/>
        <w:rPr>
          <w:rFonts w:cs="Times New Roman"/>
          <w:sz w:val="2"/>
          <w:szCs w:val="24"/>
          <w:lang w:val="fr-FR"/>
        </w:rPr>
      </w:pPr>
    </w:p>
    <w:p w:rsidR="00B4464C" w:rsidRPr="00A5720B" w:rsidRDefault="00B4464C" w:rsidP="00DB368C">
      <w:pPr>
        <w:jc w:val="both"/>
        <w:rPr>
          <w:rFonts w:cs="Times New Roman"/>
          <w:szCs w:val="24"/>
          <w:lang w:val="fr-FR"/>
        </w:rPr>
      </w:pPr>
      <w:r w:rsidRPr="00A5720B">
        <w:rPr>
          <w:rFonts w:cs="Times New Roman"/>
          <w:szCs w:val="24"/>
          <w:lang w:val="fr-FR"/>
        </w:rPr>
        <w:t xml:space="preserve">Au Niger, le DMPA-SC, plus connu sous le nom du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Pr="00A5720B">
        <w:rPr>
          <w:rFonts w:cs="Times New Roman"/>
          <w:szCs w:val="24"/>
          <w:lang w:val="fr-FR"/>
        </w:rPr>
        <w:t>Press</w:t>
      </w:r>
      <w:proofErr w:type="spellEnd"/>
      <w:r w:rsidRPr="00A5720B">
        <w:rPr>
          <w:rFonts w:cs="Times New Roman"/>
          <w:szCs w:val="24"/>
          <w:lang w:val="fr-FR"/>
        </w:rPr>
        <w:t xml:space="preserve"> est introduit depuis 2014 pour la phase d’expérimentation et la décision de le passer à l’échelle par le Comité National de Sécurisation des Produits de la Santé de la Reproduction date du 24 Juin 2015. </w:t>
      </w:r>
    </w:p>
    <w:p w:rsidR="00B4464C" w:rsidRPr="00A5720B" w:rsidRDefault="00B4464C" w:rsidP="0079228E">
      <w:pPr>
        <w:spacing w:after="0" w:line="240" w:lineRule="auto"/>
        <w:jc w:val="both"/>
        <w:rPr>
          <w:rFonts w:cs="Times New Roman"/>
          <w:szCs w:val="24"/>
          <w:lang w:val="fr-FR"/>
        </w:rPr>
      </w:pPr>
      <w:r w:rsidRPr="00A5720B">
        <w:rPr>
          <w:rFonts w:cs="Times New Roman"/>
          <w:szCs w:val="24"/>
          <w:lang w:val="fr-FR"/>
        </w:rPr>
        <w:t xml:space="preserve">En juillet 2015, le Niger a élaboré son plan de mise à l’échelle du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Pr="00A5720B">
        <w:rPr>
          <w:rFonts w:cs="Times New Roman"/>
          <w:szCs w:val="24"/>
          <w:lang w:val="fr-FR"/>
        </w:rPr>
        <w:t>press</w:t>
      </w:r>
      <w:proofErr w:type="spellEnd"/>
      <w:r w:rsidRPr="00A5720B">
        <w:rPr>
          <w:rFonts w:cs="Times New Roman"/>
          <w:szCs w:val="24"/>
          <w:lang w:val="fr-FR"/>
        </w:rPr>
        <w:t xml:space="preserve"> qui a pour objectif principal d’élargir les possibilités d’accès à la contraception injectable au niveau de la communauté.</w:t>
      </w:r>
    </w:p>
    <w:tbl>
      <w:tblPr>
        <w:tblStyle w:val="TableGrid"/>
        <w:tblpPr w:leftFromText="180" w:rightFromText="180" w:vertAnchor="text" w:horzAnchor="page" w:tblpX="1231" w:tblpY="293"/>
        <w:tblW w:w="0" w:type="auto"/>
        <w:tblLook w:val="04A0" w:firstRow="1" w:lastRow="0" w:firstColumn="1" w:lastColumn="0" w:noHBand="0" w:noVBand="1"/>
      </w:tblPr>
      <w:tblGrid>
        <w:gridCol w:w="9778"/>
      </w:tblGrid>
      <w:tr w:rsidR="00C74A14" w:rsidRPr="00FC1C39" w:rsidTr="00FA343C">
        <w:trPr>
          <w:trHeight w:val="1792"/>
        </w:trPr>
        <w:tc>
          <w:tcPr>
            <w:tcW w:w="9778" w:type="dxa"/>
            <w:tcBorders>
              <w:top w:val="single" w:sz="4" w:space="0" w:color="4472C4"/>
              <w:left w:val="single" w:sz="4" w:space="0" w:color="4472C4"/>
              <w:bottom w:val="single" w:sz="4" w:space="0" w:color="4472C4"/>
              <w:right w:val="single" w:sz="4" w:space="0" w:color="4472C4"/>
            </w:tcBorders>
          </w:tcPr>
          <w:p w:rsidR="00C74A14" w:rsidRPr="00A5720B" w:rsidRDefault="00C74A14" w:rsidP="00BE5D77">
            <w:pPr>
              <w:jc w:val="both"/>
              <w:rPr>
                <w:rFonts w:cs="Times New Roman"/>
                <w:b/>
                <w:bCs/>
                <w:i/>
                <w:color w:val="4472C4" w:themeColor="accent5"/>
                <w:szCs w:val="24"/>
                <w:lang w:val="fr-FR"/>
              </w:rPr>
            </w:pPr>
            <w:r w:rsidRPr="00A5720B">
              <w:rPr>
                <w:rFonts w:cs="Times New Roman"/>
                <w:b/>
                <w:bCs/>
                <w:i/>
                <w:color w:val="4472C4" w:themeColor="accent5"/>
                <w:szCs w:val="24"/>
                <w:lang w:val="fr-FR"/>
              </w:rPr>
              <w:lastRenderedPageBreak/>
              <w:t>Encadre 3</w:t>
            </w:r>
            <w:r w:rsidR="00AA55D6" w:rsidRPr="00A5720B">
              <w:rPr>
                <w:rFonts w:cs="Times New Roman"/>
                <w:b/>
                <w:bCs/>
                <w:i/>
                <w:color w:val="4472C4" w:themeColor="accent5"/>
                <w:szCs w:val="24"/>
                <w:lang w:val="fr-FR"/>
              </w:rPr>
              <w:t> : introduction du DMPA-SC dans le système de santé du Niger</w:t>
            </w:r>
          </w:p>
          <w:p w:rsidR="00C74A14" w:rsidRPr="00A5720B" w:rsidRDefault="00C74A14" w:rsidP="00C74A14">
            <w:pPr>
              <w:jc w:val="both"/>
              <w:rPr>
                <w:rFonts w:cs="Times New Roman"/>
                <w:bCs/>
                <w:i/>
                <w:szCs w:val="24"/>
                <w:lang w:val="fr-FR"/>
              </w:rPr>
            </w:pPr>
            <w:r w:rsidRPr="00A5720B">
              <w:rPr>
                <w:rFonts w:cs="Times New Roman"/>
                <w:bCs/>
                <w:i/>
                <w:szCs w:val="24"/>
                <w:lang w:val="fr-FR"/>
              </w:rPr>
              <w:t xml:space="preserve">Le Niger a fait le choix d’inclure le DMPA-SC dans la gamme des méthodes contraceptives au niveau périphérique, particulièrement au niveau des cases de santé exclusivement. Le produit est offert gratuitement dans ces cases de santé grâce à l’appui de l’Etat et de ses partenaires. Aussi, faut-il le rappeler, le DMPA-SC est introduit dans le système sanitaire : </w:t>
            </w:r>
          </w:p>
          <w:p w:rsidR="00C74A14" w:rsidRPr="003C5B1A" w:rsidRDefault="00AA55D6" w:rsidP="00361443">
            <w:pPr>
              <w:pStyle w:val="ListParagraph"/>
              <w:numPr>
                <w:ilvl w:val="0"/>
                <w:numId w:val="3"/>
              </w:numPr>
              <w:jc w:val="both"/>
              <w:rPr>
                <w:rFonts w:cs="Times New Roman"/>
                <w:bCs/>
                <w:i/>
                <w:szCs w:val="24"/>
                <w:lang w:val="fr-FR"/>
              </w:rPr>
            </w:pPr>
            <w:r w:rsidRPr="003C5B1A">
              <w:rPr>
                <w:rFonts w:cs="Times New Roman"/>
                <w:bCs/>
                <w:i/>
                <w:szCs w:val="24"/>
                <w:lang w:val="fr-FR"/>
              </w:rPr>
              <w:t xml:space="preserve">Depuis </w:t>
            </w:r>
            <w:r w:rsidR="00C74A14" w:rsidRPr="003C5B1A">
              <w:rPr>
                <w:rFonts w:cs="Times New Roman"/>
                <w:bCs/>
                <w:i/>
                <w:szCs w:val="24"/>
                <w:lang w:val="fr-FR"/>
              </w:rPr>
              <w:t>2014 dans le système de santé ;</w:t>
            </w:r>
          </w:p>
          <w:p w:rsidR="00C74A14" w:rsidRPr="003C5B1A" w:rsidRDefault="00C74A14" w:rsidP="00361443">
            <w:pPr>
              <w:pStyle w:val="ListParagraph"/>
              <w:numPr>
                <w:ilvl w:val="0"/>
                <w:numId w:val="3"/>
              </w:numPr>
              <w:jc w:val="both"/>
              <w:rPr>
                <w:rFonts w:cs="Times New Roman"/>
                <w:bCs/>
                <w:i/>
                <w:szCs w:val="24"/>
                <w:lang w:val="fr-FR"/>
              </w:rPr>
            </w:pPr>
            <w:r w:rsidRPr="003C5B1A">
              <w:rPr>
                <w:rFonts w:cs="Times New Roman"/>
                <w:bCs/>
                <w:i/>
                <w:szCs w:val="24"/>
                <w:lang w:val="fr-FR"/>
              </w:rPr>
              <w:t>Depuis 2016 dans la liste Nationale de Médicament Essentielle ;</w:t>
            </w:r>
          </w:p>
          <w:p w:rsidR="00C74A14" w:rsidRPr="003C5B1A" w:rsidRDefault="00C74A14" w:rsidP="00361443">
            <w:pPr>
              <w:pStyle w:val="ListParagraph"/>
              <w:numPr>
                <w:ilvl w:val="0"/>
                <w:numId w:val="3"/>
              </w:numPr>
              <w:jc w:val="both"/>
              <w:rPr>
                <w:rFonts w:cs="Times New Roman"/>
                <w:bCs/>
                <w:i/>
                <w:szCs w:val="24"/>
                <w:lang w:val="fr-FR"/>
              </w:rPr>
            </w:pPr>
            <w:r w:rsidRPr="003C5B1A">
              <w:rPr>
                <w:rFonts w:cs="Times New Roman"/>
                <w:bCs/>
                <w:i/>
                <w:szCs w:val="24"/>
                <w:lang w:val="fr-FR"/>
              </w:rPr>
              <w:t>Le programme de formation en technologie contraceptive prend en compte le DMPA-SC.</w:t>
            </w:r>
          </w:p>
        </w:tc>
      </w:tr>
    </w:tbl>
    <w:p w:rsidR="00C74A14" w:rsidRPr="0079228E" w:rsidRDefault="00C74A14" w:rsidP="00C74A14">
      <w:pPr>
        <w:jc w:val="both"/>
        <w:rPr>
          <w:rFonts w:cs="Times New Roman"/>
          <w:sz w:val="14"/>
          <w:szCs w:val="24"/>
          <w:lang w:val="fr-FR"/>
        </w:rPr>
      </w:pPr>
    </w:p>
    <w:p w:rsidR="00B4464C" w:rsidRPr="00A5720B" w:rsidRDefault="00B4464C" w:rsidP="00DB368C">
      <w:pPr>
        <w:jc w:val="both"/>
        <w:rPr>
          <w:rFonts w:cs="Times New Roman"/>
          <w:szCs w:val="24"/>
          <w:lang w:val="fr-FR"/>
        </w:rPr>
      </w:pPr>
      <w:r w:rsidRPr="00A5720B">
        <w:rPr>
          <w:rFonts w:cs="Times New Roman"/>
          <w:szCs w:val="24"/>
          <w:lang w:val="fr-FR"/>
        </w:rPr>
        <w:t>En effet, les résultats de la phase pilote ont été satisfaisant. Pour rappel, les sites d’intervention sont : Maradi (</w:t>
      </w:r>
      <w:proofErr w:type="spellStart"/>
      <w:r w:rsidRPr="00A5720B">
        <w:rPr>
          <w:rFonts w:cs="Times New Roman"/>
          <w:szCs w:val="24"/>
          <w:lang w:val="fr-FR"/>
        </w:rPr>
        <w:t>Mayahi</w:t>
      </w:r>
      <w:proofErr w:type="spellEnd"/>
      <w:r w:rsidRPr="00A5720B">
        <w:rPr>
          <w:rFonts w:cs="Times New Roman"/>
          <w:szCs w:val="24"/>
          <w:lang w:val="fr-FR"/>
        </w:rPr>
        <w:t xml:space="preserve"> et </w:t>
      </w:r>
      <w:proofErr w:type="spellStart"/>
      <w:r w:rsidRPr="00A5720B">
        <w:rPr>
          <w:rFonts w:cs="Times New Roman"/>
          <w:szCs w:val="24"/>
          <w:lang w:val="fr-FR"/>
        </w:rPr>
        <w:t>Madarounfa</w:t>
      </w:r>
      <w:proofErr w:type="spellEnd"/>
      <w:r w:rsidRPr="00A5720B">
        <w:rPr>
          <w:rFonts w:cs="Times New Roman"/>
          <w:szCs w:val="24"/>
          <w:lang w:val="fr-FR"/>
        </w:rPr>
        <w:t>, 50 sites) pour la distribution à base communautaire avec Animas Sutura, Niamey où les salles de soins et cliniques sont identifiées</w:t>
      </w:r>
      <w:r w:rsidR="0060685B" w:rsidRPr="00A5720B">
        <w:rPr>
          <w:rFonts w:cs="Times New Roman"/>
          <w:szCs w:val="24"/>
          <w:lang w:val="fr-FR"/>
        </w:rPr>
        <w:t>, au niveau du privé, les 5</w:t>
      </w:r>
      <w:r w:rsidRPr="00A5720B">
        <w:rPr>
          <w:rFonts w:cs="Times New Roman"/>
          <w:szCs w:val="24"/>
          <w:lang w:val="fr-FR"/>
        </w:rPr>
        <w:t xml:space="preserve"> sites de </w:t>
      </w:r>
      <w:r w:rsidR="0060685B" w:rsidRPr="00A5720B">
        <w:rPr>
          <w:rFonts w:cs="Times New Roman"/>
          <w:szCs w:val="24"/>
          <w:lang w:val="fr-FR"/>
        </w:rPr>
        <w:t>l’ANBEF et 93</w:t>
      </w:r>
      <w:r w:rsidRPr="00A5720B">
        <w:rPr>
          <w:rFonts w:cs="Times New Roman"/>
          <w:szCs w:val="24"/>
          <w:lang w:val="fr-FR"/>
        </w:rPr>
        <w:t xml:space="preserve"> pharmacies et enfin, au n</w:t>
      </w:r>
      <w:r w:rsidR="0060685B" w:rsidRPr="00A5720B">
        <w:rPr>
          <w:rFonts w:cs="Times New Roman"/>
          <w:szCs w:val="24"/>
          <w:lang w:val="fr-FR"/>
        </w:rPr>
        <w:t xml:space="preserve">iveau du public, 211 </w:t>
      </w:r>
      <w:r w:rsidRPr="00A5720B">
        <w:rPr>
          <w:rFonts w:cs="Times New Roman"/>
          <w:szCs w:val="24"/>
          <w:lang w:val="fr-FR"/>
        </w:rPr>
        <w:t xml:space="preserve">cases de santé à Téra et à </w:t>
      </w:r>
      <w:proofErr w:type="spellStart"/>
      <w:r w:rsidRPr="00A5720B">
        <w:rPr>
          <w:rFonts w:cs="Times New Roman"/>
          <w:szCs w:val="24"/>
          <w:lang w:val="fr-FR"/>
        </w:rPr>
        <w:t>Magaria</w:t>
      </w:r>
      <w:proofErr w:type="spellEnd"/>
      <w:r w:rsidRPr="00A5720B">
        <w:rPr>
          <w:rFonts w:cs="Times New Roman"/>
          <w:szCs w:val="24"/>
          <w:lang w:val="fr-FR"/>
        </w:rPr>
        <w:t xml:space="preserve">. </w:t>
      </w:r>
    </w:p>
    <w:p w:rsidR="00B4464C" w:rsidRPr="00A5720B" w:rsidRDefault="00B4464C" w:rsidP="00DB368C">
      <w:pPr>
        <w:jc w:val="both"/>
        <w:rPr>
          <w:rFonts w:cs="Times New Roman"/>
          <w:szCs w:val="24"/>
          <w:lang w:val="fr-FR"/>
        </w:rPr>
      </w:pPr>
      <w:r w:rsidRPr="00A5720B">
        <w:rPr>
          <w:rFonts w:cs="Times New Roman"/>
          <w:szCs w:val="24"/>
          <w:lang w:val="fr-FR"/>
        </w:rPr>
        <w:t xml:space="preserve">Ainsi, l’offre du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Pr="00A5720B">
        <w:rPr>
          <w:rFonts w:cs="Times New Roman"/>
          <w:szCs w:val="24"/>
          <w:lang w:val="fr-FR"/>
        </w:rPr>
        <w:t>Press</w:t>
      </w:r>
      <w:proofErr w:type="spellEnd"/>
      <w:r w:rsidRPr="00A5720B">
        <w:rPr>
          <w:rFonts w:cs="Times New Roman"/>
          <w:szCs w:val="24"/>
          <w:lang w:val="fr-FR"/>
        </w:rPr>
        <w:t xml:space="preserve"> au 4ème trimestre 2014 et au 1er trimestre 2015 a permis de recruter </w:t>
      </w:r>
      <w:r w:rsidR="0060685B" w:rsidRPr="00A5720B">
        <w:rPr>
          <w:rFonts w:cs="Times New Roman"/>
          <w:szCs w:val="24"/>
          <w:lang w:val="fr-FR"/>
        </w:rPr>
        <w:t>5896</w:t>
      </w:r>
      <w:r w:rsidRPr="00A5720B">
        <w:rPr>
          <w:rFonts w:cs="Times New Roman"/>
          <w:szCs w:val="24"/>
          <w:lang w:val="fr-FR"/>
        </w:rPr>
        <w:t xml:space="preserve"> nou</w:t>
      </w:r>
      <w:r w:rsidR="0060685B" w:rsidRPr="00A5720B">
        <w:rPr>
          <w:rFonts w:cs="Times New Roman"/>
          <w:szCs w:val="24"/>
          <w:lang w:val="fr-FR"/>
        </w:rPr>
        <w:t>velles acceptantes PF et 4124</w:t>
      </w:r>
      <w:r w:rsidRPr="00A5720B">
        <w:rPr>
          <w:rFonts w:cs="Times New Roman"/>
          <w:szCs w:val="24"/>
          <w:lang w:val="fr-FR"/>
        </w:rPr>
        <w:t xml:space="preserve"> anciennes. Au 1er trimestre 2015, l’utilisation de l’injectable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00DB368C" w:rsidRPr="00A5720B">
        <w:rPr>
          <w:rFonts w:cs="Times New Roman"/>
          <w:szCs w:val="24"/>
          <w:lang w:val="fr-FR"/>
        </w:rPr>
        <w:t>Press</w:t>
      </w:r>
      <w:proofErr w:type="spellEnd"/>
      <w:r w:rsidR="00DB368C" w:rsidRPr="00A5720B">
        <w:rPr>
          <w:rFonts w:cs="Times New Roman"/>
          <w:szCs w:val="24"/>
          <w:lang w:val="fr-FR"/>
        </w:rPr>
        <w:t xml:space="preserve"> a</w:t>
      </w:r>
      <w:r w:rsidRPr="00A5720B">
        <w:rPr>
          <w:rFonts w:cs="Times New Roman"/>
          <w:szCs w:val="24"/>
          <w:lang w:val="fr-FR"/>
        </w:rPr>
        <w:t xml:space="preserve"> contribué de l’ordre de 13% </w:t>
      </w:r>
      <w:r w:rsidR="00DB368C" w:rsidRPr="00A5720B">
        <w:rPr>
          <w:rFonts w:cs="Times New Roman"/>
          <w:szCs w:val="24"/>
          <w:lang w:val="fr-FR"/>
        </w:rPr>
        <w:t>à l’atteinte</w:t>
      </w:r>
      <w:r w:rsidRPr="00A5720B">
        <w:rPr>
          <w:rFonts w:cs="Times New Roman"/>
          <w:szCs w:val="24"/>
          <w:lang w:val="fr-FR"/>
        </w:rPr>
        <w:t xml:space="preserve"> de la cible PF 2015 du district de Téra </w:t>
      </w:r>
      <w:r w:rsidR="00DB368C" w:rsidRPr="00A5720B">
        <w:rPr>
          <w:rFonts w:cs="Times New Roman"/>
          <w:szCs w:val="24"/>
          <w:lang w:val="fr-FR"/>
        </w:rPr>
        <w:t>et 25</w:t>
      </w:r>
      <w:r w:rsidRPr="00A5720B">
        <w:rPr>
          <w:rFonts w:cs="Times New Roman"/>
          <w:szCs w:val="24"/>
          <w:lang w:val="fr-FR"/>
        </w:rPr>
        <w:t xml:space="preserve">% à celle de </w:t>
      </w:r>
      <w:proofErr w:type="spellStart"/>
      <w:r w:rsidRPr="00A5720B">
        <w:rPr>
          <w:rFonts w:cs="Times New Roman"/>
          <w:szCs w:val="24"/>
          <w:lang w:val="fr-FR"/>
        </w:rPr>
        <w:t>Magaria</w:t>
      </w:r>
      <w:proofErr w:type="spellEnd"/>
      <w:r w:rsidRPr="00A5720B">
        <w:rPr>
          <w:rFonts w:cs="Times New Roman"/>
          <w:szCs w:val="24"/>
          <w:lang w:val="fr-FR"/>
        </w:rPr>
        <w:t>.</w:t>
      </w:r>
    </w:p>
    <w:p w:rsidR="00B4464C" w:rsidRPr="00A5720B" w:rsidRDefault="0060685B" w:rsidP="00DB368C">
      <w:pPr>
        <w:jc w:val="both"/>
        <w:rPr>
          <w:rFonts w:cs="Times New Roman"/>
          <w:szCs w:val="24"/>
          <w:lang w:val="fr-FR"/>
        </w:rPr>
      </w:pPr>
      <w:r w:rsidRPr="00A5720B">
        <w:rPr>
          <w:rFonts w:cs="Times New Roman"/>
          <w:szCs w:val="24"/>
          <w:lang w:val="fr-FR"/>
        </w:rPr>
        <w:t>En 2018, sur</w:t>
      </w:r>
      <w:r w:rsidR="00AC606C" w:rsidRPr="00A5720B">
        <w:rPr>
          <w:rFonts w:cs="Times New Roman"/>
          <w:szCs w:val="24"/>
          <w:lang w:val="fr-FR"/>
        </w:rPr>
        <w:t xml:space="preserve"> un total de 41</w:t>
      </w:r>
      <w:r w:rsidRPr="00A5720B">
        <w:rPr>
          <w:rFonts w:cs="Times New Roman"/>
          <w:szCs w:val="24"/>
          <w:lang w:val="fr-FR"/>
        </w:rPr>
        <w:t xml:space="preserve"> districts </w:t>
      </w:r>
      <w:r w:rsidR="00AC606C" w:rsidRPr="00A5720B">
        <w:rPr>
          <w:rFonts w:cs="Times New Roman"/>
          <w:szCs w:val="24"/>
          <w:lang w:val="fr-FR"/>
        </w:rPr>
        <w:t xml:space="preserve">sanitaires </w:t>
      </w:r>
      <w:r w:rsidRPr="00A5720B">
        <w:rPr>
          <w:rFonts w:cs="Times New Roman"/>
          <w:szCs w:val="24"/>
          <w:lang w:val="fr-FR"/>
        </w:rPr>
        <w:t>prévus 31</w:t>
      </w:r>
      <w:r w:rsidR="00B4464C" w:rsidRPr="00A5720B">
        <w:rPr>
          <w:rFonts w:cs="Times New Roman"/>
          <w:szCs w:val="24"/>
          <w:lang w:val="fr-FR"/>
        </w:rPr>
        <w:t xml:space="preserve"> sont couverts par le </w:t>
      </w:r>
      <w:proofErr w:type="spellStart"/>
      <w:r w:rsidR="00B4464C" w:rsidRPr="00A5720B">
        <w:rPr>
          <w:rFonts w:cs="Times New Roman"/>
          <w:szCs w:val="24"/>
          <w:lang w:val="fr-FR"/>
        </w:rPr>
        <w:t>Sayana</w:t>
      </w:r>
      <w:proofErr w:type="spellEnd"/>
      <w:r w:rsidR="00B4464C" w:rsidRPr="00A5720B">
        <w:rPr>
          <w:rFonts w:cs="Times New Roman"/>
          <w:szCs w:val="24"/>
          <w:lang w:val="fr-FR"/>
        </w:rPr>
        <w:t xml:space="preserve"> </w:t>
      </w:r>
      <w:proofErr w:type="spellStart"/>
      <w:r w:rsidR="00DB368C" w:rsidRPr="00A5720B">
        <w:rPr>
          <w:rFonts w:cs="Times New Roman"/>
          <w:szCs w:val="24"/>
          <w:lang w:val="fr-FR"/>
        </w:rPr>
        <w:t>Press</w:t>
      </w:r>
      <w:proofErr w:type="spellEnd"/>
      <w:r w:rsidR="00B4464C" w:rsidRPr="00A5720B">
        <w:rPr>
          <w:rFonts w:cs="Times New Roman"/>
          <w:szCs w:val="24"/>
          <w:lang w:val="fr-FR"/>
        </w:rPr>
        <w:t>.</w:t>
      </w:r>
      <w:r w:rsidR="00AC606C" w:rsidRPr="00A5720B">
        <w:rPr>
          <w:rFonts w:cs="Times New Roman"/>
          <w:szCs w:val="24"/>
          <w:lang w:val="fr-FR"/>
        </w:rPr>
        <w:t xml:space="preserve"> U</w:t>
      </w:r>
      <w:r w:rsidR="00B4464C" w:rsidRPr="00A5720B">
        <w:rPr>
          <w:rFonts w:cs="Times New Roman"/>
          <w:szCs w:val="24"/>
          <w:lang w:val="fr-FR"/>
        </w:rPr>
        <w:t>n gap important est</w:t>
      </w:r>
      <w:r w:rsidR="00AC606C" w:rsidRPr="00A5720B">
        <w:rPr>
          <w:rFonts w:cs="Times New Roman"/>
          <w:szCs w:val="24"/>
          <w:lang w:val="fr-FR"/>
        </w:rPr>
        <w:t xml:space="preserve"> donc</w:t>
      </w:r>
      <w:r w:rsidR="00B4464C" w:rsidRPr="00A5720B">
        <w:rPr>
          <w:rFonts w:cs="Times New Roman"/>
          <w:szCs w:val="24"/>
          <w:lang w:val="fr-FR"/>
        </w:rPr>
        <w:t xml:space="preserve"> à couvrir pour la seule année 2018. Au total, 2304</w:t>
      </w:r>
      <w:r w:rsidR="00AC606C" w:rsidRPr="00A5720B">
        <w:rPr>
          <w:rFonts w:cs="Times New Roman"/>
          <w:szCs w:val="24"/>
          <w:lang w:val="fr-FR"/>
        </w:rPr>
        <w:t xml:space="preserve"> </w:t>
      </w:r>
      <w:r w:rsidR="00B4464C" w:rsidRPr="00A5720B">
        <w:rPr>
          <w:rFonts w:cs="Times New Roman"/>
          <w:szCs w:val="24"/>
          <w:lang w:val="fr-FR"/>
        </w:rPr>
        <w:t xml:space="preserve">cases de santé sont couvertes sur 2767 prévues durant toute la phase de mise en œuvre au Niger.   </w:t>
      </w:r>
    </w:p>
    <w:p w:rsidR="00B4464C" w:rsidRPr="00A5720B" w:rsidRDefault="00AC606C" w:rsidP="00DB368C">
      <w:pPr>
        <w:jc w:val="both"/>
        <w:rPr>
          <w:rFonts w:cs="Times New Roman"/>
          <w:szCs w:val="24"/>
          <w:lang w:val="fr-FR"/>
        </w:rPr>
      </w:pPr>
      <w:r w:rsidRPr="00A5720B">
        <w:rPr>
          <w:rFonts w:cs="Times New Roman"/>
          <w:szCs w:val="24"/>
          <w:lang w:val="fr-FR"/>
        </w:rPr>
        <w:t>Au regard de</w:t>
      </w:r>
      <w:r w:rsidR="00B4464C" w:rsidRPr="00A5720B">
        <w:rPr>
          <w:rFonts w:cs="Times New Roman"/>
          <w:szCs w:val="24"/>
          <w:lang w:val="fr-FR"/>
        </w:rPr>
        <w:t xml:space="preserve"> l’ensemble des cases de santé prévues dans le plan, </w:t>
      </w:r>
      <w:r w:rsidRPr="00A5720B">
        <w:rPr>
          <w:rFonts w:cs="Times New Roman"/>
          <w:szCs w:val="24"/>
          <w:lang w:val="fr-FR"/>
        </w:rPr>
        <w:t xml:space="preserve">on constate que </w:t>
      </w:r>
      <w:r w:rsidR="00B4464C" w:rsidRPr="00A5720B">
        <w:rPr>
          <w:rFonts w:cs="Times New Roman"/>
          <w:szCs w:val="24"/>
          <w:lang w:val="fr-FR"/>
        </w:rPr>
        <w:t>le gap est encore plus important quant à la disponibilité du produit. Ainsi, ce sont</w:t>
      </w:r>
      <w:r w:rsidRPr="00A5720B">
        <w:rPr>
          <w:rFonts w:cs="Times New Roman"/>
          <w:szCs w:val="24"/>
          <w:lang w:val="fr-FR"/>
        </w:rPr>
        <w:t xml:space="preserve"> </w:t>
      </w:r>
      <w:r w:rsidR="00B4464C" w:rsidRPr="00A5720B">
        <w:rPr>
          <w:rFonts w:cs="Times New Roman"/>
          <w:szCs w:val="24"/>
          <w:lang w:val="fr-FR"/>
        </w:rPr>
        <w:t xml:space="preserve">463 cases de santé qui n’étaient pas couvertes sur celles prévues dans le plan. </w:t>
      </w:r>
      <w:r w:rsidRPr="00A5720B">
        <w:rPr>
          <w:rFonts w:cs="Times New Roman"/>
          <w:szCs w:val="24"/>
          <w:lang w:val="fr-FR"/>
        </w:rPr>
        <w:t xml:space="preserve"> </w:t>
      </w:r>
    </w:p>
    <w:p w:rsidR="00AC606C" w:rsidRPr="00A5720B" w:rsidRDefault="00B4464C" w:rsidP="00DB368C">
      <w:pPr>
        <w:jc w:val="both"/>
        <w:rPr>
          <w:rFonts w:cs="Times New Roman"/>
          <w:szCs w:val="24"/>
          <w:lang w:val="fr-FR"/>
        </w:rPr>
      </w:pPr>
      <w:r w:rsidRPr="00A5720B">
        <w:rPr>
          <w:rFonts w:cs="Times New Roman"/>
          <w:szCs w:val="24"/>
          <w:lang w:val="fr-FR"/>
        </w:rPr>
        <w:t>La distribution à base communautaire couvre actuellement 55 villages (sites Animas Sutura) de Maradi. Aussi, grâce marketing social promu par Animas Sutura, celle-</w:t>
      </w:r>
      <w:r w:rsidR="00DB368C" w:rsidRPr="00A5720B">
        <w:rPr>
          <w:rFonts w:cs="Times New Roman"/>
          <w:szCs w:val="24"/>
          <w:lang w:val="fr-FR"/>
        </w:rPr>
        <w:t>ci a</w:t>
      </w:r>
      <w:r w:rsidRPr="00A5720B">
        <w:rPr>
          <w:rFonts w:cs="Times New Roman"/>
          <w:szCs w:val="24"/>
          <w:lang w:val="fr-FR"/>
        </w:rPr>
        <w:t xml:space="preserve"> rendu le Sutura </w:t>
      </w:r>
      <w:proofErr w:type="spellStart"/>
      <w:r w:rsidRPr="00A5720B">
        <w:rPr>
          <w:rFonts w:cs="Times New Roman"/>
          <w:szCs w:val="24"/>
          <w:lang w:val="fr-FR"/>
        </w:rPr>
        <w:t>Press</w:t>
      </w:r>
      <w:proofErr w:type="spellEnd"/>
      <w:r w:rsidRPr="00A5720B">
        <w:rPr>
          <w:rFonts w:cs="Times New Roman"/>
          <w:szCs w:val="24"/>
          <w:lang w:val="fr-FR"/>
        </w:rPr>
        <w:t xml:space="preserve">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Pr="00A5720B">
        <w:rPr>
          <w:rFonts w:cs="Times New Roman"/>
          <w:szCs w:val="24"/>
          <w:lang w:val="fr-FR"/>
        </w:rPr>
        <w:t>Press</w:t>
      </w:r>
      <w:proofErr w:type="spellEnd"/>
      <w:r w:rsidRPr="00A5720B">
        <w:rPr>
          <w:rFonts w:cs="Times New Roman"/>
          <w:szCs w:val="24"/>
          <w:lang w:val="fr-FR"/>
        </w:rPr>
        <w:t xml:space="preserve">) disponible au niveau de 93 pharmacies et 59 cliniques privées de Niamey. Néanmoins, les pharmacies et kiosques ne sont pas autorisés à administrer le produit aux clientes. </w:t>
      </w:r>
    </w:p>
    <w:p w:rsidR="00B4464C" w:rsidRPr="00A5720B" w:rsidRDefault="00B4464C" w:rsidP="00F07D01">
      <w:pPr>
        <w:spacing w:after="0"/>
        <w:jc w:val="both"/>
        <w:rPr>
          <w:rFonts w:cs="Times New Roman"/>
          <w:sz w:val="20"/>
          <w:szCs w:val="24"/>
          <w:lang w:val="fr-FR"/>
        </w:rPr>
      </w:pPr>
      <w:r w:rsidRPr="00A5720B">
        <w:rPr>
          <w:rFonts w:cs="Times New Roman"/>
          <w:szCs w:val="24"/>
          <w:lang w:val="fr-FR"/>
        </w:rPr>
        <w:t xml:space="preserve">Les perspectives du DMPA-SC au Niger sont prometteuses. En effet, un plaidoyer de haut niveau est mené avec l’appui de certains partenaires qui a abouti sur la révision du décret d’application de la loi sur la santé de la reproduction qui cette fois-ci prend plusieurs aspects axés sur la délégation des tâches du paquet d’activités SR </w:t>
      </w:r>
      <w:r w:rsidRPr="00A5720B">
        <w:rPr>
          <w:rFonts w:cs="Times New Roman"/>
          <w:sz w:val="20"/>
          <w:szCs w:val="24"/>
          <w:lang w:val="fr-FR"/>
        </w:rPr>
        <w:t xml:space="preserve">dont particulièrement l’administration du DMPA-SC par les relais communautaires. </w:t>
      </w:r>
    </w:p>
    <w:tbl>
      <w:tblPr>
        <w:tblStyle w:val="TableGrid"/>
        <w:tblpPr w:leftFromText="180" w:rightFromText="180" w:vertAnchor="text" w:horzAnchor="page" w:tblpX="1231" w:tblpY="293"/>
        <w:tblW w:w="0" w:type="auto"/>
        <w:tblLook w:val="04A0" w:firstRow="1" w:lastRow="0" w:firstColumn="1" w:lastColumn="0" w:noHBand="0" w:noVBand="1"/>
      </w:tblPr>
      <w:tblGrid>
        <w:gridCol w:w="9778"/>
      </w:tblGrid>
      <w:tr w:rsidR="00F07D01" w:rsidRPr="00FC1C39" w:rsidTr="00FA343C">
        <w:trPr>
          <w:trHeight w:val="709"/>
        </w:trPr>
        <w:tc>
          <w:tcPr>
            <w:tcW w:w="9778" w:type="dxa"/>
            <w:tcBorders>
              <w:top w:val="single" w:sz="4" w:space="0" w:color="4472C4"/>
              <w:left w:val="single" w:sz="4" w:space="0" w:color="4472C4"/>
              <w:bottom w:val="single" w:sz="4" w:space="0" w:color="4472C4"/>
              <w:right w:val="single" w:sz="4" w:space="0" w:color="4472C4"/>
            </w:tcBorders>
          </w:tcPr>
          <w:p w:rsidR="00F07D01" w:rsidRPr="00A5720B" w:rsidRDefault="00F07D01" w:rsidP="00F07D01">
            <w:pPr>
              <w:jc w:val="both"/>
              <w:rPr>
                <w:rFonts w:cs="Times New Roman"/>
                <w:b/>
                <w:bCs/>
                <w:i/>
                <w:color w:val="4472C4" w:themeColor="accent5"/>
                <w:szCs w:val="24"/>
                <w:lang w:val="fr-FR"/>
              </w:rPr>
            </w:pPr>
            <w:r w:rsidRPr="00A5720B">
              <w:rPr>
                <w:rFonts w:cs="Times New Roman"/>
                <w:b/>
                <w:bCs/>
                <w:i/>
                <w:color w:val="4472C4" w:themeColor="accent5"/>
                <w:szCs w:val="24"/>
                <w:lang w:val="fr-FR"/>
              </w:rPr>
              <w:t>Encadre 4</w:t>
            </w:r>
            <w:r w:rsidR="00AA55D6" w:rsidRPr="00A5720B">
              <w:rPr>
                <w:rFonts w:cs="Times New Roman"/>
                <w:b/>
                <w:bCs/>
                <w:i/>
                <w:color w:val="4472C4" w:themeColor="accent5"/>
                <w:szCs w:val="24"/>
                <w:lang w:val="fr-FR"/>
              </w:rPr>
              <w:t xml:space="preserve"> : la place du DMPA-SC dans le plan d’action national budgétisé de la PF </w:t>
            </w:r>
          </w:p>
          <w:p w:rsidR="00F07D01" w:rsidRPr="00A5720B" w:rsidRDefault="00F07D01" w:rsidP="00F07D01">
            <w:pPr>
              <w:jc w:val="both"/>
              <w:rPr>
                <w:rFonts w:cs="Times New Roman"/>
                <w:b/>
                <w:bCs/>
                <w:i/>
                <w:szCs w:val="24"/>
                <w:lang w:val="fr-FR"/>
              </w:rPr>
            </w:pPr>
            <w:r w:rsidRPr="00A5720B">
              <w:rPr>
                <w:rFonts w:cs="Times New Roman"/>
                <w:bCs/>
                <w:i/>
                <w:szCs w:val="24"/>
                <w:lang w:val="fr-CI"/>
              </w:rPr>
              <w:t>Le DMPA-SC est identifié comme une stratégie dans le plan d’action national budgétisé de la Planification Familiale.</w:t>
            </w:r>
            <w:r w:rsidR="003C5B1A">
              <w:rPr>
                <w:rFonts w:cs="Times New Roman"/>
                <w:bCs/>
                <w:i/>
                <w:szCs w:val="24"/>
                <w:lang w:val="fr-CI"/>
              </w:rPr>
              <w:t xml:space="preserve"> Il est aussi identifié comme étant une des approche qui permettra au Niger d’atteindre les objectifs et les engagements pris dans le cadre du Partenariat de Ouagadougou et </w:t>
            </w:r>
            <w:proofErr w:type="spellStart"/>
            <w:r w:rsidR="003C5B1A">
              <w:rPr>
                <w:rFonts w:cs="Times New Roman"/>
                <w:bCs/>
                <w:i/>
                <w:szCs w:val="24"/>
                <w:lang w:val="fr-CI"/>
              </w:rPr>
              <w:t>Family</w:t>
            </w:r>
            <w:proofErr w:type="spellEnd"/>
            <w:r w:rsidR="003C5B1A">
              <w:rPr>
                <w:rFonts w:cs="Times New Roman"/>
                <w:bCs/>
                <w:i/>
                <w:szCs w:val="24"/>
                <w:lang w:val="fr-CI"/>
              </w:rPr>
              <w:t xml:space="preserve"> Planning 2020.</w:t>
            </w:r>
          </w:p>
        </w:tc>
      </w:tr>
    </w:tbl>
    <w:p w:rsidR="00F07D01" w:rsidRPr="00A5720B" w:rsidRDefault="00F07D01" w:rsidP="00DB368C">
      <w:pPr>
        <w:jc w:val="both"/>
        <w:rPr>
          <w:rFonts w:cs="Times New Roman"/>
          <w:szCs w:val="24"/>
          <w:lang w:val="fr-FR"/>
        </w:rPr>
      </w:pPr>
    </w:p>
    <w:p w:rsidR="00F07D01" w:rsidRPr="00A5720B" w:rsidRDefault="00F07D01" w:rsidP="00F07D01">
      <w:pPr>
        <w:spacing w:after="0"/>
        <w:jc w:val="both"/>
        <w:rPr>
          <w:rFonts w:cs="Times New Roman"/>
          <w:szCs w:val="24"/>
          <w:lang w:val="fr-FR"/>
        </w:rPr>
      </w:pPr>
    </w:p>
    <w:p w:rsidR="00B4464C" w:rsidRPr="00A5720B" w:rsidRDefault="00B4464C" w:rsidP="00F07D01">
      <w:pPr>
        <w:spacing w:after="0"/>
        <w:jc w:val="both"/>
        <w:rPr>
          <w:rFonts w:cs="Times New Roman"/>
          <w:szCs w:val="24"/>
          <w:lang w:val="fr-FR"/>
        </w:rPr>
      </w:pPr>
      <w:r w:rsidRPr="00A5720B">
        <w:rPr>
          <w:rFonts w:cs="Times New Roman"/>
          <w:szCs w:val="24"/>
          <w:lang w:val="fr-FR"/>
        </w:rPr>
        <w:t xml:space="preserve">Plusieurs structures de la société civile ont actuellement des projets en instances sur la promotion de la délégation du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Pr="00A5720B">
        <w:rPr>
          <w:rFonts w:cs="Times New Roman"/>
          <w:szCs w:val="24"/>
          <w:lang w:val="fr-FR"/>
        </w:rPr>
        <w:t>Press</w:t>
      </w:r>
      <w:proofErr w:type="spellEnd"/>
      <w:r w:rsidRPr="00A5720B">
        <w:rPr>
          <w:rFonts w:cs="Times New Roman"/>
          <w:szCs w:val="24"/>
          <w:lang w:val="fr-FR"/>
        </w:rPr>
        <w:t xml:space="preserve"> au niveau communautaire. Le pays est engagé aussi dans un processus de rendre disponible le produit au niveau de toute la pyramide sanitaire en vue d’élargir le choix des contraceptifs y compris le DMPA-SC dans la gamme de l’offre. En effet, c’est une grande perte de femmes additionnelles potentielles qui est observée avec la non disponibilité du DMAP-SC au niveau du reste de la pyramide mais aussi une restriction du choix de la femme à la gamme complète des produits contraceptifs. La levée de cette barrière </w:t>
      </w:r>
      <w:r w:rsidRPr="00A5720B">
        <w:rPr>
          <w:rFonts w:cs="Times New Roman"/>
          <w:szCs w:val="24"/>
          <w:lang w:val="fr-FR"/>
        </w:rPr>
        <w:lastRenderedPageBreak/>
        <w:t xml:space="preserve">permettra sans nul doute d’accélérer le rehaussement du </w:t>
      </w:r>
      <w:proofErr w:type="spellStart"/>
      <w:r w:rsidRPr="00A5720B">
        <w:rPr>
          <w:rFonts w:cs="Times New Roman"/>
          <w:szCs w:val="24"/>
          <w:lang w:val="fr-FR"/>
        </w:rPr>
        <w:t>TPC</w:t>
      </w:r>
      <w:r w:rsidR="00F149FD" w:rsidRPr="00A5720B">
        <w:rPr>
          <w:rFonts w:cs="Times New Roman"/>
          <w:szCs w:val="24"/>
          <w:lang w:val="fr-FR"/>
        </w:rPr>
        <w:t>m</w:t>
      </w:r>
      <w:proofErr w:type="spellEnd"/>
      <w:r w:rsidRPr="00A5720B">
        <w:rPr>
          <w:rFonts w:cs="Times New Roman"/>
          <w:szCs w:val="24"/>
          <w:lang w:val="fr-FR"/>
        </w:rPr>
        <w:t xml:space="preserve"> au Niger et surtout d’approcher le taux de 50% que le pays s’est fixé.</w:t>
      </w:r>
      <w:r w:rsidR="00F149FD" w:rsidRPr="00A5720B">
        <w:rPr>
          <w:rFonts w:cs="Times New Roman"/>
          <w:szCs w:val="24"/>
          <w:lang w:val="fr-FR"/>
        </w:rPr>
        <w:t xml:space="preserve"> C</w:t>
      </w:r>
      <w:r w:rsidRPr="00A5720B">
        <w:rPr>
          <w:rFonts w:cs="Times New Roman"/>
          <w:szCs w:val="24"/>
          <w:lang w:val="fr-FR"/>
        </w:rPr>
        <w:t xml:space="preserve">e sont environ 1040 points de prestations qui seront couverts avec l’introduction du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Pr="00A5720B">
        <w:rPr>
          <w:rFonts w:cs="Times New Roman"/>
          <w:szCs w:val="24"/>
          <w:lang w:val="fr-FR"/>
        </w:rPr>
        <w:t>Press</w:t>
      </w:r>
      <w:proofErr w:type="spellEnd"/>
      <w:r w:rsidRPr="00A5720B">
        <w:rPr>
          <w:rFonts w:cs="Times New Roman"/>
          <w:szCs w:val="24"/>
          <w:lang w:val="fr-FR"/>
        </w:rPr>
        <w:t xml:space="preserve"> au niveau du reste de la pyramide. </w:t>
      </w:r>
    </w:p>
    <w:p w:rsidR="000C6D5C" w:rsidRPr="00A5720B" w:rsidRDefault="000C6D5C" w:rsidP="00DB368C">
      <w:pPr>
        <w:jc w:val="both"/>
        <w:rPr>
          <w:rFonts w:cs="Times New Roman"/>
          <w:sz w:val="2"/>
          <w:szCs w:val="24"/>
          <w:lang w:val="fr-FR"/>
        </w:rPr>
      </w:pPr>
    </w:p>
    <w:p w:rsidR="00DB368C" w:rsidRPr="0079228E" w:rsidRDefault="00330708" w:rsidP="003C5B1A">
      <w:pPr>
        <w:spacing w:after="120" w:line="240" w:lineRule="auto"/>
        <w:jc w:val="both"/>
        <w:rPr>
          <w:rFonts w:eastAsiaTheme="minorHAnsi"/>
          <w:b/>
          <w:color w:val="44546A" w:themeColor="text2"/>
          <w:lang w:val="fr-FR"/>
        </w:rPr>
      </w:pPr>
      <w:r w:rsidRPr="0079228E">
        <w:rPr>
          <w:rFonts w:eastAsiaTheme="minorHAnsi"/>
          <w:b/>
          <w:color w:val="44546A" w:themeColor="text2"/>
          <w:lang w:val="fr-FR"/>
        </w:rPr>
        <w:t>Graphique</w:t>
      </w:r>
      <w:r w:rsidR="006C0B83">
        <w:rPr>
          <w:rFonts w:eastAsiaTheme="minorHAnsi"/>
          <w:b/>
          <w:color w:val="44546A" w:themeColor="text2"/>
          <w:lang w:val="fr-FR"/>
        </w:rPr>
        <w:t xml:space="preserve"> 1</w:t>
      </w:r>
      <w:r w:rsidRPr="0079228E">
        <w:rPr>
          <w:rFonts w:eastAsiaTheme="minorHAnsi"/>
          <w:b/>
          <w:color w:val="44546A" w:themeColor="text2"/>
          <w:lang w:val="fr-FR"/>
        </w:rPr>
        <w:t> </w:t>
      </w:r>
      <w:r w:rsidR="00DB368C" w:rsidRPr="0079228E">
        <w:rPr>
          <w:rFonts w:eastAsiaTheme="minorHAnsi"/>
          <w:b/>
          <w:color w:val="44546A" w:themeColor="text2"/>
          <w:lang w:val="fr-FR"/>
        </w:rPr>
        <w:t>:</w:t>
      </w:r>
      <w:r w:rsidR="00F149FD" w:rsidRPr="0079228E">
        <w:rPr>
          <w:rFonts w:eastAsiaTheme="minorHAnsi"/>
          <w:b/>
          <w:color w:val="44546A" w:themeColor="text2"/>
          <w:lang w:val="fr-FR"/>
        </w:rPr>
        <w:t xml:space="preserve"> </w:t>
      </w:r>
      <w:r w:rsidR="000C6D5C" w:rsidRPr="003C5B1A">
        <w:rPr>
          <w:rFonts w:eastAsiaTheme="minorHAnsi"/>
          <w:color w:val="44546A" w:themeColor="text2"/>
          <w:lang w:val="fr-FR"/>
        </w:rPr>
        <w:t>Répartition</w:t>
      </w:r>
      <w:r w:rsidR="00F149FD" w:rsidRPr="003C5B1A">
        <w:rPr>
          <w:rFonts w:eastAsiaTheme="minorHAnsi"/>
          <w:color w:val="44546A" w:themeColor="text2"/>
          <w:lang w:val="fr-FR"/>
        </w:rPr>
        <w:t xml:space="preserve"> des utilisatrices du </w:t>
      </w:r>
      <w:proofErr w:type="spellStart"/>
      <w:r w:rsidR="000C6D5C" w:rsidRPr="003C5B1A">
        <w:rPr>
          <w:rFonts w:eastAsiaTheme="minorHAnsi"/>
          <w:color w:val="44546A" w:themeColor="text2"/>
          <w:lang w:val="fr-FR"/>
        </w:rPr>
        <w:t>Sayana</w:t>
      </w:r>
      <w:proofErr w:type="spellEnd"/>
      <w:r w:rsidR="000C6D5C" w:rsidRPr="003C5B1A">
        <w:rPr>
          <w:rFonts w:eastAsiaTheme="minorHAnsi"/>
          <w:color w:val="44546A" w:themeColor="text2"/>
          <w:lang w:val="fr-FR"/>
        </w:rPr>
        <w:t xml:space="preserve"> </w:t>
      </w:r>
      <w:proofErr w:type="spellStart"/>
      <w:r w:rsidR="000C6D5C" w:rsidRPr="003C5B1A">
        <w:rPr>
          <w:rFonts w:eastAsiaTheme="minorHAnsi"/>
          <w:color w:val="44546A" w:themeColor="text2"/>
          <w:lang w:val="fr-FR"/>
        </w:rPr>
        <w:t>Press</w:t>
      </w:r>
      <w:proofErr w:type="spellEnd"/>
      <w:r w:rsidR="000C6D5C" w:rsidRPr="003C5B1A">
        <w:rPr>
          <w:rFonts w:eastAsiaTheme="minorHAnsi"/>
          <w:color w:val="44546A" w:themeColor="text2"/>
          <w:lang w:val="fr-FR"/>
        </w:rPr>
        <w:t xml:space="preserve"> de 2014 à 2015</w:t>
      </w:r>
    </w:p>
    <w:p w:rsidR="00B4464C" w:rsidRPr="00A5720B" w:rsidRDefault="00B4464C" w:rsidP="003C5B1A">
      <w:pPr>
        <w:spacing w:after="0" w:line="240" w:lineRule="auto"/>
        <w:rPr>
          <w:rFonts w:cs="Times New Roman"/>
          <w:b/>
          <w:lang w:val="fr-FR"/>
        </w:rPr>
      </w:pPr>
      <w:r w:rsidRPr="00A5720B">
        <w:rPr>
          <w:rFonts w:cs="Times New Roman"/>
          <w:b/>
          <w:noProof/>
        </w:rPr>
        <w:drawing>
          <wp:inline distT="0" distB="0" distL="0" distR="0" wp14:anchorId="5CF5500A" wp14:editId="4A0C74C9">
            <wp:extent cx="6184900" cy="2677364"/>
            <wp:effectExtent l="0" t="0" r="6350" b="889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464C" w:rsidRPr="0079228E" w:rsidRDefault="00B4464C" w:rsidP="00DB368C">
      <w:pPr>
        <w:jc w:val="both"/>
        <w:rPr>
          <w:rFonts w:cs="Times New Roman"/>
          <w:b/>
          <w:sz w:val="18"/>
          <w:szCs w:val="24"/>
          <w:lang w:val="fr-FR"/>
        </w:rPr>
      </w:pPr>
      <w:r w:rsidRPr="0079228E">
        <w:rPr>
          <w:rFonts w:cs="Times New Roman"/>
          <w:b/>
          <w:bCs/>
          <w:sz w:val="18"/>
          <w:szCs w:val="24"/>
          <w:lang w:val="fr-FR"/>
        </w:rPr>
        <w:t xml:space="preserve">Source : </w:t>
      </w:r>
      <w:r w:rsidRPr="0079228E">
        <w:rPr>
          <w:rFonts w:cs="Times New Roman"/>
          <w:bCs/>
          <w:sz w:val="18"/>
          <w:szCs w:val="24"/>
          <w:lang w:val="fr-FR"/>
        </w:rPr>
        <w:t>Rapport de la phase pilote, données global</w:t>
      </w:r>
      <w:r w:rsidR="00D06818" w:rsidRPr="0079228E">
        <w:rPr>
          <w:rFonts w:cs="Times New Roman"/>
          <w:bCs/>
          <w:sz w:val="18"/>
          <w:szCs w:val="24"/>
          <w:lang w:val="fr-FR"/>
        </w:rPr>
        <w:t>es de la phase pilote de 2014 à</w:t>
      </w:r>
      <w:r w:rsidRPr="0079228E">
        <w:rPr>
          <w:rFonts w:cs="Times New Roman"/>
          <w:bCs/>
          <w:sz w:val="18"/>
          <w:szCs w:val="24"/>
          <w:lang w:val="fr-FR"/>
        </w:rPr>
        <w:t xml:space="preserve"> 2015</w:t>
      </w:r>
    </w:p>
    <w:p w:rsidR="00B4464C" w:rsidRPr="00391E8C" w:rsidRDefault="00960999" w:rsidP="00177290">
      <w:pPr>
        <w:pStyle w:val="Style5"/>
        <w:ind w:left="0" w:firstLine="0"/>
      </w:pPr>
      <w:bookmarkStart w:id="115" w:name="_Toc19105677"/>
      <w:bookmarkStart w:id="116" w:name="_Toc19106054"/>
      <w:bookmarkStart w:id="117" w:name="_Toc19106310"/>
      <w:bookmarkStart w:id="118" w:name="_Toc19106486"/>
      <w:bookmarkStart w:id="119" w:name="_Toc19203079"/>
      <w:bookmarkEnd w:id="115"/>
      <w:bookmarkEnd w:id="116"/>
      <w:bookmarkEnd w:id="117"/>
      <w:bookmarkEnd w:id="118"/>
      <w:r w:rsidRPr="00391E8C">
        <w:t>Situation des</w:t>
      </w:r>
      <w:r w:rsidR="00B4464C" w:rsidRPr="00391E8C">
        <w:t xml:space="preserve"> politiques normes et protocoles/procédures, directives et lois </w:t>
      </w:r>
      <w:r w:rsidR="00F42233" w:rsidRPr="00391E8C">
        <w:t>en rapport</w:t>
      </w:r>
      <w:r w:rsidR="00B4464C" w:rsidRPr="00391E8C">
        <w:t xml:space="preserve"> avec la PF en générale et spécifiquement le DMPA-SC</w:t>
      </w:r>
      <w:bookmarkEnd w:id="119"/>
      <w:r w:rsidR="00B4464C" w:rsidRPr="00391E8C">
        <w:t xml:space="preserve"> </w:t>
      </w:r>
    </w:p>
    <w:p w:rsidR="00F42233" w:rsidRPr="00A5720B" w:rsidRDefault="00F42233" w:rsidP="003C5B1A">
      <w:pPr>
        <w:spacing w:after="120" w:line="240" w:lineRule="auto"/>
        <w:jc w:val="both"/>
        <w:rPr>
          <w:sz w:val="2"/>
          <w:lang w:val="fr-FR"/>
        </w:rPr>
      </w:pPr>
    </w:p>
    <w:p w:rsidR="00B4464C" w:rsidRPr="00A5720B" w:rsidRDefault="00B4464C" w:rsidP="00DB368C">
      <w:pPr>
        <w:jc w:val="both"/>
        <w:rPr>
          <w:rFonts w:cs="Times New Roman"/>
          <w:szCs w:val="24"/>
          <w:lang w:val="fr-FR"/>
        </w:rPr>
      </w:pPr>
      <w:r w:rsidRPr="00A5720B">
        <w:rPr>
          <w:rFonts w:cs="Times New Roman"/>
          <w:szCs w:val="24"/>
          <w:lang w:val="fr-FR"/>
        </w:rPr>
        <w:t xml:space="preserve">Suite à la Conférence Internationale du Caire sur la Population et le Développement (CIPD) en 1994 et au sommet des Nations Unies de 2002 la santé de la reproduction et la maitrise de la démographie ont été identifiées par les pays comme le Niger comme des priorités en matière de développement. Ainsi, le Niger s’est engagé pour les Objectifs du Millénaire pour le Développement (OMD) en ces points 4 ; 5 et 6 et récemment pour </w:t>
      </w:r>
      <w:r w:rsidR="00DB368C" w:rsidRPr="00A5720B">
        <w:rPr>
          <w:rFonts w:cs="Times New Roman"/>
          <w:szCs w:val="24"/>
          <w:lang w:val="fr-FR"/>
        </w:rPr>
        <w:t>les objectifs</w:t>
      </w:r>
      <w:r w:rsidRPr="00A5720B">
        <w:rPr>
          <w:rFonts w:cs="Times New Roman"/>
          <w:szCs w:val="24"/>
          <w:lang w:val="fr-FR"/>
        </w:rPr>
        <w:t xml:space="preserve"> du développement durable (ODD) en son point 3 lié à la santé. </w:t>
      </w:r>
    </w:p>
    <w:p w:rsidR="00B4464C" w:rsidRPr="00A5720B" w:rsidRDefault="00B4464C" w:rsidP="00DB368C">
      <w:pPr>
        <w:jc w:val="both"/>
        <w:rPr>
          <w:rFonts w:cs="Times New Roman"/>
          <w:szCs w:val="24"/>
          <w:lang w:val="fr-FR"/>
        </w:rPr>
      </w:pPr>
      <w:r w:rsidRPr="00A5720B">
        <w:rPr>
          <w:rFonts w:cs="Times New Roman"/>
          <w:szCs w:val="24"/>
          <w:lang w:val="fr-FR"/>
        </w:rPr>
        <w:t>Aussi, la Politique Nationale de Santé (PNS) 2017-2025 à son deuxième axe stratégique qui porte sur l’amélioration de l’offre et de la qualité des prestations stipule à son sous-point ‘’promotion de la Santé de la Reproduction’’ que « L'Etat renforcera la collaboration multisectorielle entre les ministères techniques (santé, population, éducation et formation, plan etc.) dans le cadre de la maitrise de la démographie pour accélérer l'atteinte vers le dividende démographique au Niger ».</w:t>
      </w:r>
    </w:p>
    <w:p w:rsidR="00B4464C" w:rsidRPr="00A5720B" w:rsidRDefault="00B4464C" w:rsidP="00DB368C">
      <w:pPr>
        <w:jc w:val="both"/>
        <w:rPr>
          <w:rFonts w:cs="Times New Roman"/>
          <w:szCs w:val="24"/>
          <w:lang w:val="fr-FR"/>
        </w:rPr>
      </w:pPr>
      <w:r w:rsidRPr="00A5720B">
        <w:rPr>
          <w:rFonts w:cs="Times New Roman"/>
          <w:szCs w:val="24"/>
          <w:lang w:val="fr-FR"/>
        </w:rPr>
        <w:t xml:space="preserve">En effet, </w:t>
      </w:r>
      <w:r w:rsidR="009709CD" w:rsidRPr="00A5720B">
        <w:rPr>
          <w:rFonts w:cs="Times New Roman"/>
          <w:szCs w:val="24"/>
          <w:lang w:val="fr-FR"/>
        </w:rPr>
        <w:t>l</w:t>
      </w:r>
      <w:r w:rsidRPr="00A5720B">
        <w:rPr>
          <w:rFonts w:cs="Times New Roman"/>
          <w:szCs w:val="24"/>
          <w:lang w:val="fr-FR"/>
        </w:rPr>
        <w:t>e gouvernement nigérien dans le cadre du Partenariat de Ouagadougou a pris des engagements en matière de PF mais aussi</w:t>
      </w:r>
      <w:r w:rsidR="00DB368C" w:rsidRPr="00A5720B">
        <w:rPr>
          <w:rFonts w:cs="Times New Roman"/>
          <w:szCs w:val="24"/>
          <w:lang w:val="fr-FR"/>
        </w:rPr>
        <w:t xml:space="preserve"> a</w:t>
      </w:r>
      <w:r w:rsidRPr="00A5720B">
        <w:rPr>
          <w:rFonts w:cs="Times New Roman"/>
          <w:szCs w:val="24"/>
          <w:lang w:val="fr-FR"/>
        </w:rPr>
        <w:t xml:space="preserve"> renouvelé </w:t>
      </w:r>
      <w:r w:rsidR="00DB368C" w:rsidRPr="00A5720B">
        <w:rPr>
          <w:rFonts w:cs="Times New Roman"/>
          <w:szCs w:val="24"/>
          <w:lang w:val="fr-FR"/>
        </w:rPr>
        <w:t>ces engagements</w:t>
      </w:r>
      <w:r w:rsidRPr="00A5720B">
        <w:rPr>
          <w:rFonts w:cs="Times New Roman"/>
          <w:szCs w:val="24"/>
          <w:lang w:val="fr-FR"/>
        </w:rPr>
        <w:t xml:space="preserve"> dans le cadre de l’initiative FP2020 qui entre autre </w:t>
      </w:r>
      <w:proofErr w:type="gramStart"/>
      <w:r w:rsidRPr="00A5720B">
        <w:rPr>
          <w:rFonts w:cs="Times New Roman"/>
          <w:szCs w:val="24"/>
          <w:lang w:val="fr-FR"/>
        </w:rPr>
        <w:t>mettent</w:t>
      </w:r>
      <w:proofErr w:type="gramEnd"/>
      <w:r w:rsidRPr="00A5720B">
        <w:rPr>
          <w:rFonts w:cs="Times New Roman"/>
          <w:szCs w:val="24"/>
          <w:lang w:val="fr-FR"/>
        </w:rPr>
        <w:t xml:space="preserve"> l’accent sur la promotion de la qualité de l’offre de services et la facilité de l’accès. </w:t>
      </w:r>
    </w:p>
    <w:p w:rsidR="00B4464C" w:rsidRPr="00A5720B" w:rsidRDefault="00B4464C" w:rsidP="00DB368C">
      <w:pPr>
        <w:jc w:val="both"/>
        <w:rPr>
          <w:rFonts w:cs="Times New Roman"/>
          <w:szCs w:val="24"/>
          <w:lang w:val="fr-FR"/>
        </w:rPr>
      </w:pPr>
      <w:r w:rsidRPr="00A5720B">
        <w:rPr>
          <w:rFonts w:cs="Times New Roman"/>
          <w:szCs w:val="24"/>
          <w:lang w:val="fr-FR"/>
        </w:rPr>
        <w:t>En prenant part à tous ces engagements, le Niger s’inscrit dans la promotion</w:t>
      </w:r>
      <w:r w:rsidR="001D69FE" w:rsidRPr="00A5720B">
        <w:rPr>
          <w:rFonts w:cs="Times New Roman"/>
          <w:szCs w:val="24"/>
          <w:lang w:val="fr-FR"/>
        </w:rPr>
        <w:t xml:space="preserve"> de</w:t>
      </w:r>
      <w:r w:rsidRPr="00A5720B">
        <w:rPr>
          <w:rFonts w:cs="Times New Roman"/>
          <w:szCs w:val="24"/>
          <w:lang w:val="fr-FR"/>
        </w:rPr>
        <w:t xml:space="preserve"> la santé de la reproduction qui met un point d’honneur sur l’utilisation des produits contraceptifs comme le DMPA-SC.  </w:t>
      </w:r>
    </w:p>
    <w:p w:rsidR="00B4464C" w:rsidRPr="00A5720B" w:rsidRDefault="00B4464C" w:rsidP="00DB368C">
      <w:pPr>
        <w:jc w:val="both"/>
        <w:rPr>
          <w:rFonts w:cs="Times New Roman"/>
          <w:szCs w:val="24"/>
          <w:lang w:val="fr-FR"/>
        </w:rPr>
      </w:pPr>
      <w:r w:rsidRPr="00A5720B">
        <w:rPr>
          <w:rFonts w:cs="Times New Roman"/>
          <w:szCs w:val="24"/>
          <w:lang w:val="fr-FR"/>
        </w:rPr>
        <w:t xml:space="preserve">En 2016, les pays du Partenariat de Ouagadougou se sont fixés un objectif de mobiliser 2.200.000 femmes additionnelles en planification familiale (phase d’accélération) et réitérés plusieurs engagements lors du </w:t>
      </w:r>
      <w:r w:rsidRPr="00A5720B">
        <w:rPr>
          <w:rFonts w:cs="Times New Roman"/>
          <w:szCs w:val="24"/>
          <w:lang w:val="fr-FR"/>
        </w:rPr>
        <w:lastRenderedPageBreak/>
        <w:t xml:space="preserve">sommet de Londres en 2017. A cet effet, le DMPA-SC est identifié par les acteurs du PO comme une innovation qui permettra d’atteindre les objectifs dans cette phase d’accélération. </w:t>
      </w:r>
    </w:p>
    <w:p w:rsidR="00B4464C" w:rsidRPr="00A5720B" w:rsidRDefault="00B4464C" w:rsidP="00F07D01">
      <w:pPr>
        <w:spacing w:after="0"/>
        <w:jc w:val="both"/>
        <w:rPr>
          <w:rFonts w:cs="Times New Roman"/>
          <w:szCs w:val="24"/>
          <w:lang w:val="fr-FR"/>
        </w:rPr>
      </w:pPr>
      <w:r w:rsidRPr="00A5720B">
        <w:rPr>
          <w:rFonts w:cs="Times New Roman"/>
          <w:szCs w:val="24"/>
          <w:lang w:val="fr-FR"/>
        </w:rPr>
        <w:t>Lors du Sommet de Londres en 2012, un</w:t>
      </w:r>
      <w:r w:rsidRPr="00A5720B">
        <w:rPr>
          <w:rFonts w:cs="Times New Roman"/>
          <w:b/>
          <w:szCs w:val="24"/>
          <w:lang w:val="fr-FR"/>
        </w:rPr>
        <w:t xml:space="preserve"> </w:t>
      </w:r>
      <w:r w:rsidRPr="00A5720B">
        <w:rPr>
          <w:rFonts w:cs="Times New Roman"/>
          <w:szCs w:val="24"/>
          <w:lang w:val="fr-FR"/>
        </w:rPr>
        <w:t xml:space="preserve">Consortium de donateurs pour la promotion </w:t>
      </w:r>
      <w:r w:rsidR="00DB368C" w:rsidRPr="00A5720B">
        <w:rPr>
          <w:rFonts w:cs="Times New Roman"/>
          <w:szCs w:val="24"/>
          <w:lang w:val="fr-FR"/>
        </w:rPr>
        <w:t xml:space="preserve">du </w:t>
      </w:r>
      <w:proofErr w:type="spellStart"/>
      <w:r w:rsidR="00DB368C" w:rsidRPr="00A5720B">
        <w:rPr>
          <w:rFonts w:cs="Times New Roman"/>
          <w:szCs w:val="24"/>
          <w:lang w:val="fr-FR"/>
        </w:rPr>
        <w:t>Sayana</w:t>
      </w:r>
      <w:proofErr w:type="spellEnd"/>
      <w:r w:rsidRPr="00A5720B">
        <w:rPr>
          <w:rFonts w:cs="Times New Roman"/>
          <w:szCs w:val="24"/>
          <w:lang w:val="fr-FR"/>
        </w:rPr>
        <w:t xml:space="preserve"> </w:t>
      </w:r>
      <w:proofErr w:type="spellStart"/>
      <w:r w:rsidR="00DB368C" w:rsidRPr="00A5720B">
        <w:rPr>
          <w:rFonts w:cs="Times New Roman"/>
          <w:szCs w:val="24"/>
          <w:lang w:val="fr-FR"/>
        </w:rPr>
        <w:t>Press</w:t>
      </w:r>
      <w:proofErr w:type="spellEnd"/>
      <w:r w:rsidR="00DB368C" w:rsidRPr="00A5720B">
        <w:rPr>
          <w:rFonts w:cs="Times New Roman"/>
          <w:szCs w:val="24"/>
          <w:lang w:val="fr-FR"/>
        </w:rPr>
        <w:t> a</w:t>
      </w:r>
      <w:r w:rsidRPr="00A5720B">
        <w:rPr>
          <w:rFonts w:cs="Times New Roman"/>
          <w:szCs w:val="24"/>
          <w:lang w:val="fr-FR"/>
        </w:rPr>
        <w:t xml:space="preserve"> annoncé des plans pour atteindre les femmes additionnelles et l’appui pour</w:t>
      </w:r>
      <w:r w:rsidRPr="00A5720B">
        <w:rPr>
          <w:rFonts w:cs="Times New Roman"/>
          <w:b/>
          <w:szCs w:val="24"/>
          <w:lang w:val="fr-FR"/>
        </w:rPr>
        <w:t xml:space="preserve"> </w:t>
      </w:r>
      <w:r w:rsidRPr="00A5720B">
        <w:rPr>
          <w:rFonts w:cs="Times New Roman"/>
          <w:szCs w:val="24"/>
          <w:lang w:val="fr-FR"/>
        </w:rPr>
        <w:t>soutenir/faciliter l'introduction.</w:t>
      </w:r>
      <w:r w:rsidRPr="00A5720B">
        <w:rPr>
          <w:rFonts w:cs="Times New Roman"/>
          <w:b/>
          <w:szCs w:val="24"/>
          <w:lang w:val="fr-FR"/>
        </w:rPr>
        <w:t xml:space="preserve"> </w:t>
      </w:r>
      <w:r w:rsidRPr="00A5720B">
        <w:rPr>
          <w:rFonts w:cs="Times New Roman"/>
          <w:szCs w:val="24"/>
          <w:lang w:val="fr-FR"/>
        </w:rPr>
        <w:t>La Fondation Bill et Melinda Ga</w:t>
      </w:r>
      <w:r w:rsidR="00DB368C" w:rsidRPr="00A5720B">
        <w:rPr>
          <w:rFonts w:cs="Times New Roman"/>
          <w:szCs w:val="24"/>
          <w:lang w:val="fr-FR"/>
        </w:rPr>
        <w:t>tes, l’USAID, L’UNFPA, l’OOAS, l</w:t>
      </w:r>
      <w:r w:rsidRPr="00A5720B">
        <w:rPr>
          <w:rFonts w:cs="Times New Roman"/>
          <w:szCs w:val="24"/>
          <w:lang w:val="fr-FR"/>
        </w:rPr>
        <w:t xml:space="preserve">e </w:t>
      </w:r>
      <w:r w:rsidR="00DB368C" w:rsidRPr="00A5720B">
        <w:rPr>
          <w:rFonts w:cs="Times New Roman"/>
          <w:szCs w:val="24"/>
          <w:lang w:val="fr-FR"/>
        </w:rPr>
        <w:t>FC, l’AFD</w:t>
      </w:r>
      <w:r w:rsidRPr="00A5720B">
        <w:rPr>
          <w:rFonts w:cs="Times New Roman"/>
          <w:szCs w:val="24"/>
          <w:lang w:val="fr-FR"/>
        </w:rPr>
        <w:t xml:space="preserve"> et la </w:t>
      </w:r>
      <w:r w:rsidR="00DB368C" w:rsidRPr="00A5720B">
        <w:rPr>
          <w:rFonts w:cs="Times New Roman"/>
          <w:szCs w:val="24"/>
          <w:lang w:val="fr-FR"/>
        </w:rPr>
        <w:t>B</w:t>
      </w:r>
      <w:r w:rsidR="001D69FE" w:rsidRPr="00A5720B">
        <w:rPr>
          <w:rFonts w:cs="Times New Roman"/>
          <w:szCs w:val="24"/>
          <w:lang w:val="fr-FR"/>
        </w:rPr>
        <w:t xml:space="preserve">anque </w:t>
      </w:r>
      <w:r w:rsidR="00DB368C" w:rsidRPr="00A5720B">
        <w:rPr>
          <w:rFonts w:cs="Times New Roman"/>
          <w:szCs w:val="24"/>
          <w:lang w:val="fr-FR"/>
        </w:rPr>
        <w:t>M</w:t>
      </w:r>
      <w:r w:rsidR="001D69FE" w:rsidRPr="00A5720B">
        <w:rPr>
          <w:rFonts w:cs="Times New Roman"/>
          <w:szCs w:val="24"/>
          <w:lang w:val="fr-FR"/>
        </w:rPr>
        <w:t>ondiale (BM)</w:t>
      </w:r>
      <w:r w:rsidR="00DB368C" w:rsidRPr="00A5720B">
        <w:rPr>
          <w:rFonts w:cs="Times New Roman"/>
          <w:szCs w:val="24"/>
          <w:lang w:val="fr-FR"/>
        </w:rPr>
        <w:t xml:space="preserve"> supportèrent</w:t>
      </w:r>
      <w:r w:rsidRPr="00A5720B">
        <w:rPr>
          <w:rFonts w:cs="Times New Roman"/>
          <w:szCs w:val="24"/>
          <w:lang w:val="fr-FR"/>
        </w:rPr>
        <w:t xml:space="preserve"> </w:t>
      </w:r>
      <w:r w:rsidR="00DB368C" w:rsidRPr="00A5720B">
        <w:rPr>
          <w:rFonts w:cs="Times New Roman"/>
          <w:szCs w:val="24"/>
          <w:lang w:val="fr-FR"/>
        </w:rPr>
        <w:t>l’initiative de</w:t>
      </w:r>
      <w:r w:rsidRPr="00A5720B">
        <w:rPr>
          <w:rFonts w:cs="Times New Roman"/>
          <w:szCs w:val="24"/>
          <w:lang w:val="fr-FR"/>
        </w:rPr>
        <w:t xml:space="preserve"> mise à </w:t>
      </w:r>
      <w:r w:rsidR="00DB368C" w:rsidRPr="00A5720B">
        <w:rPr>
          <w:rFonts w:cs="Times New Roman"/>
          <w:szCs w:val="24"/>
          <w:lang w:val="fr-FR"/>
        </w:rPr>
        <w:t>l’échelle du</w:t>
      </w:r>
      <w:r w:rsidRPr="00A5720B">
        <w:rPr>
          <w:rFonts w:cs="Times New Roman"/>
          <w:szCs w:val="24"/>
          <w:lang w:val="fr-FR"/>
        </w:rPr>
        <w:t xml:space="preserve"> </w:t>
      </w:r>
      <w:proofErr w:type="spellStart"/>
      <w:r w:rsidRPr="00A5720B">
        <w:rPr>
          <w:rFonts w:cs="Times New Roman"/>
          <w:szCs w:val="24"/>
          <w:lang w:val="fr-FR"/>
        </w:rPr>
        <w:t>Sayana</w:t>
      </w:r>
      <w:proofErr w:type="spellEnd"/>
      <w:r w:rsidRPr="00A5720B">
        <w:rPr>
          <w:rFonts w:cs="Times New Roman"/>
          <w:szCs w:val="24"/>
          <w:lang w:val="fr-FR"/>
        </w:rPr>
        <w:t xml:space="preserve"> </w:t>
      </w:r>
      <w:proofErr w:type="spellStart"/>
      <w:r w:rsidR="00DB368C" w:rsidRPr="00A5720B">
        <w:rPr>
          <w:rFonts w:cs="Times New Roman"/>
          <w:szCs w:val="24"/>
          <w:lang w:val="fr-FR"/>
        </w:rPr>
        <w:t>Press</w:t>
      </w:r>
      <w:proofErr w:type="spellEnd"/>
      <w:r w:rsidRPr="00A5720B">
        <w:rPr>
          <w:rFonts w:cs="Times New Roman"/>
          <w:szCs w:val="24"/>
          <w:lang w:val="fr-FR"/>
        </w:rPr>
        <w:t xml:space="preserve">. </w:t>
      </w:r>
    </w:p>
    <w:tbl>
      <w:tblPr>
        <w:tblStyle w:val="TableGrid"/>
        <w:tblpPr w:leftFromText="180" w:rightFromText="180" w:vertAnchor="text" w:horzAnchor="page" w:tblpX="1231" w:tblpY="293"/>
        <w:tblW w:w="0" w:type="auto"/>
        <w:tblLook w:val="04A0" w:firstRow="1" w:lastRow="0" w:firstColumn="1" w:lastColumn="0" w:noHBand="0" w:noVBand="1"/>
      </w:tblPr>
      <w:tblGrid>
        <w:gridCol w:w="9778"/>
      </w:tblGrid>
      <w:tr w:rsidR="00F07D01" w:rsidRPr="00FC1C39" w:rsidTr="00FA343C">
        <w:trPr>
          <w:trHeight w:val="709"/>
        </w:trPr>
        <w:tc>
          <w:tcPr>
            <w:tcW w:w="9778" w:type="dxa"/>
            <w:tcBorders>
              <w:top w:val="single" w:sz="4" w:space="0" w:color="4472C4"/>
              <w:left w:val="single" w:sz="4" w:space="0" w:color="4472C4"/>
              <w:bottom w:val="single" w:sz="4" w:space="0" w:color="4472C4"/>
              <w:right w:val="single" w:sz="4" w:space="0" w:color="4472C4"/>
            </w:tcBorders>
          </w:tcPr>
          <w:p w:rsidR="00F07D01" w:rsidRPr="00A5720B" w:rsidRDefault="00F07D01" w:rsidP="00BE5D77">
            <w:pPr>
              <w:jc w:val="both"/>
              <w:rPr>
                <w:rFonts w:cs="Times New Roman"/>
                <w:b/>
                <w:bCs/>
                <w:i/>
                <w:color w:val="4472C4" w:themeColor="accent5"/>
                <w:szCs w:val="24"/>
                <w:lang w:val="fr-FR"/>
              </w:rPr>
            </w:pPr>
            <w:r w:rsidRPr="00A5720B">
              <w:rPr>
                <w:rFonts w:cs="Times New Roman"/>
                <w:b/>
                <w:bCs/>
                <w:i/>
                <w:color w:val="4472C4" w:themeColor="accent5"/>
                <w:szCs w:val="24"/>
                <w:lang w:val="fr-FR"/>
              </w:rPr>
              <w:t>Encadre 5</w:t>
            </w:r>
            <w:r w:rsidR="00AA55D6" w:rsidRPr="00A5720B">
              <w:rPr>
                <w:rFonts w:cs="Times New Roman"/>
                <w:b/>
                <w:bCs/>
                <w:i/>
                <w:color w:val="4472C4" w:themeColor="accent5"/>
                <w:szCs w:val="24"/>
                <w:lang w:val="fr-FR"/>
              </w:rPr>
              <w:t xml:space="preserve"> : </w:t>
            </w:r>
            <w:r w:rsidR="00AA55D6" w:rsidRPr="00A5720B">
              <w:rPr>
                <w:sz w:val="20"/>
                <w:lang w:val="fr-FR"/>
              </w:rPr>
              <w:t xml:space="preserve"> </w:t>
            </w:r>
            <w:r w:rsidR="00AA55D6" w:rsidRPr="00A5720B">
              <w:rPr>
                <w:rFonts w:cs="Times New Roman"/>
                <w:b/>
                <w:bCs/>
                <w:i/>
                <w:color w:val="4472C4" w:themeColor="accent5"/>
                <w:szCs w:val="24"/>
                <w:lang w:val="fr-FR"/>
              </w:rPr>
              <w:t xml:space="preserve">politiques normes et protocoles/procédures, directives et lois en rapport avec la PF en générale et spécifiquement le DMPA-SC </w:t>
            </w:r>
          </w:p>
          <w:p w:rsidR="00F07D01" w:rsidRPr="00A5720B" w:rsidRDefault="00F07D01" w:rsidP="00F07D01">
            <w:pPr>
              <w:jc w:val="both"/>
              <w:rPr>
                <w:rFonts w:cs="Times New Roman"/>
                <w:i/>
                <w:szCs w:val="24"/>
                <w:lang w:val="fr-FR"/>
              </w:rPr>
            </w:pPr>
            <w:r w:rsidRPr="00A5720B">
              <w:rPr>
                <w:rFonts w:cs="Times New Roman"/>
                <w:i/>
                <w:szCs w:val="24"/>
                <w:lang w:val="fr-FR"/>
              </w:rPr>
              <w:t xml:space="preserve">Pour accélérer l’atteinte des objectifs, au niveau national, </w:t>
            </w:r>
            <w:r w:rsidRPr="00A5720B">
              <w:rPr>
                <w:rFonts w:cs="Times New Roman"/>
                <w:b/>
                <w:i/>
                <w:szCs w:val="24"/>
                <w:lang w:val="fr-FR"/>
              </w:rPr>
              <w:t>un plan d’action national budgétisé PF 2013-2020</w:t>
            </w:r>
            <w:r w:rsidRPr="00A5720B">
              <w:rPr>
                <w:rFonts w:cs="Times New Roman"/>
                <w:i/>
                <w:szCs w:val="24"/>
                <w:lang w:val="fr-FR"/>
              </w:rPr>
              <w:t xml:space="preserve"> est élaboré, ainsi qu’un </w:t>
            </w:r>
            <w:r w:rsidRPr="00A5720B">
              <w:rPr>
                <w:rFonts w:cs="Times New Roman"/>
                <w:b/>
                <w:i/>
                <w:szCs w:val="24"/>
                <w:lang w:val="fr-FR"/>
              </w:rPr>
              <w:t>plan stratégique de sécurisation des produits de la Santé de la Reproduction (SPSR) 2017-2021</w:t>
            </w:r>
            <w:r w:rsidRPr="00A5720B">
              <w:rPr>
                <w:rFonts w:cs="Times New Roman"/>
                <w:i/>
                <w:szCs w:val="24"/>
                <w:lang w:val="fr-FR"/>
              </w:rPr>
              <w:t xml:space="preserve">. </w:t>
            </w:r>
          </w:p>
          <w:p w:rsidR="00F07D01" w:rsidRPr="00A5720B" w:rsidRDefault="00F07D01" w:rsidP="00F07D01">
            <w:pPr>
              <w:jc w:val="both"/>
              <w:rPr>
                <w:rFonts w:cs="Times New Roman"/>
                <w:b/>
                <w:bCs/>
                <w:i/>
                <w:szCs w:val="24"/>
                <w:lang w:val="fr-FR"/>
              </w:rPr>
            </w:pPr>
            <w:r w:rsidRPr="00A5720B">
              <w:rPr>
                <w:rFonts w:cs="Times New Roman"/>
                <w:i/>
                <w:szCs w:val="24"/>
                <w:lang w:val="fr-FR"/>
              </w:rPr>
              <w:t>Le plan SPSR dans sa composante de produit a pour objectif spécifique ‘’ d’assurer la disponibilité de la gamme des produits SR de qualité à tous les niveaux’’</w:t>
            </w:r>
            <w:bookmarkStart w:id="120" w:name="_Toc481482892"/>
            <w:bookmarkStart w:id="121" w:name="_Toc484505855"/>
            <w:bookmarkStart w:id="122" w:name="_Toc484506165"/>
            <w:r w:rsidRPr="00A5720B">
              <w:rPr>
                <w:rFonts w:cs="Times New Roman"/>
                <w:i/>
                <w:szCs w:val="24"/>
                <w:lang w:val="fr-FR"/>
              </w:rPr>
              <w:t xml:space="preserve"> et dans sa Composante demande et utilisation</w:t>
            </w:r>
            <w:bookmarkEnd w:id="120"/>
            <w:bookmarkEnd w:id="121"/>
            <w:bookmarkEnd w:id="122"/>
            <w:r w:rsidRPr="00A5720B">
              <w:rPr>
                <w:rFonts w:cs="Times New Roman"/>
                <w:i/>
                <w:szCs w:val="24"/>
                <w:lang w:val="fr-FR"/>
              </w:rPr>
              <w:t xml:space="preserve"> a un objectif stratégique pour ‘’Accroître la demande et l’utilisation des services SR’’</w:t>
            </w:r>
          </w:p>
        </w:tc>
      </w:tr>
    </w:tbl>
    <w:p w:rsidR="00F07D01" w:rsidRPr="00A5720B" w:rsidRDefault="00F07D01" w:rsidP="00DB368C">
      <w:pPr>
        <w:jc w:val="both"/>
        <w:rPr>
          <w:rFonts w:cs="Times New Roman"/>
          <w:szCs w:val="24"/>
          <w:lang w:val="fr-FR"/>
        </w:rPr>
      </w:pPr>
    </w:p>
    <w:p w:rsidR="00B4464C" w:rsidRPr="00A5720B" w:rsidRDefault="00B4464C" w:rsidP="00F07D01">
      <w:pPr>
        <w:spacing w:after="0"/>
        <w:jc w:val="both"/>
        <w:rPr>
          <w:rFonts w:cs="Times New Roman"/>
          <w:szCs w:val="24"/>
          <w:lang w:val="fr-FR"/>
        </w:rPr>
      </w:pPr>
    </w:p>
    <w:p w:rsidR="00B4464C" w:rsidRPr="00A5720B" w:rsidRDefault="00B4464C" w:rsidP="00F07D01">
      <w:pPr>
        <w:spacing w:after="0"/>
        <w:jc w:val="both"/>
        <w:rPr>
          <w:rFonts w:cs="Times New Roman"/>
          <w:szCs w:val="24"/>
          <w:lang w:val="fr-FR"/>
        </w:rPr>
      </w:pPr>
      <w:r w:rsidRPr="00A5720B">
        <w:rPr>
          <w:rFonts w:cs="Times New Roman"/>
          <w:szCs w:val="24"/>
          <w:lang w:val="fr-FR"/>
        </w:rPr>
        <w:t>Dans la politique nationale de la sécurité, la santé de la reproduction est clairement abordée. Elle stipule que ‘</w:t>
      </w:r>
      <w:r w:rsidR="00DB368C" w:rsidRPr="00A5720B">
        <w:rPr>
          <w:rFonts w:cs="Times New Roman"/>
          <w:i/>
          <w:szCs w:val="24"/>
          <w:lang w:val="fr-FR"/>
        </w:rPr>
        <w:t>’l</w:t>
      </w:r>
      <w:r w:rsidRPr="00A5720B">
        <w:rPr>
          <w:rFonts w:cs="Times New Roman"/>
          <w:i/>
          <w:szCs w:val="24"/>
          <w:lang w:val="fr-FR"/>
        </w:rPr>
        <w:t xml:space="preserve">a réduction de la morbidité et de la mortalité maternelles à travers la surveillance des décès maternels et riposte, le repositionnement de la planification </w:t>
      </w:r>
      <w:r w:rsidR="00DB368C" w:rsidRPr="00A5720B">
        <w:rPr>
          <w:rFonts w:cs="Times New Roman"/>
          <w:i/>
          <w:szCs w:val="24"/>
          <w:lang w:val="fr-FR"/>
        </w:rPr>
        <w:t>familiale en</w:t>
      </w:r>
      <w:r w:rsidRPr="00A5720B">
        <w:rPr>
          <w:rFonts w:cs="Times New Roman"/>
          <w:i/>
          <w:szCs w:val="24"/>
          <w:lang w:val="fr-FR"/>
        </w:rPr>
        <w:t xml:space="preserve"> mettant l’accent sur les jeunes et adolescents, les soins obstétricaux et néonatals d’urgence seront renforcés dans toutes les formations sanitaires du pays ainsi qu’au </w:t>
      </w:r>
      <w:r w:rsidR="00DB368C" w:rsidRPr="00A5720B">
        <w:rPr>
          <w:rFonts w:cs="Times New Roman"/>
          <w:i/>
          <w:szCs w:val="24"/>
          <w:lang w:val="fr-FR"/>
        </w:rPr>
        <w:t>niveau communautaire</w:t>
      </w:r>
      <w:r w:rsidRPr="00A5720B">
        <w:rPr>
          <w:rFonts w:cs="Times New Roman"/>
          <w:i/>
          <w:szCs w:val="24"/>
          <w:lang w:val="fr-FR"/>
        </w:rPr>
        <w:t>’’</w:t>
      </w:r>
      <w:r w:rsidRPr="00A5720B">
        <w:rPr>
          <w:rFonts w:cs="Times New Roman"/>
          <w:szCs w:val="24"/>
          <w:lang w:val="fr-FR"/>
        </w:rPr>
        <w:t xml:space="preserve">. </w:t>
      </w:r>
    </w:p>
    <w:p w:rsidR="00B4464C" w:rsidRPr="00A5720B" w:rsidRDefault="00B4464C" w:rsidP="00DB368C">
      <w:pPr>
        <w:jc w:val="both"/>
        <w:rPr>
          <w:rFonts w:cs="Times New Roman"/>
          <w:szCs w:val="24"/>
          <w:lang w:val="fr-FR"/>
        </w:rPr>
      </w:pPr>
      <w:r w:rsidRPr="00A5720B">
        <w:rPr>
          <w:rFonts w:cs="Times New Roman"/>
          <w:szCs w:val="24"/>
          <w:lang w:val="fr-FR"/>
        </w:rPr>
        <w:t>Aussi, plusieurs autres documents normatifs/programmatiques ont été élaboré</w:t>
      </w:r>
      <w:r w:rsidR="004A31B5" w:rsidRPr="00A5720B">
        <w:rPr>
          <w:rFonts w:cs="Times New Roman"/>
          <w:szCs w:val="24"/>
          <w:lang w:val="fr-FR"/>
        </w:rPr>
        <w:t>s</w:t>
      </w:r>
      <w:r w:rsidRPr="00A5720B">
        <w:rPr>
          <w:rFonts w:cs="Times New Roman"/>
          <w:szCs w:val="24"/>
          <w:lang w:val="fr-FR"/>
        </w:rPr>
        <w:t xml:space="preserve"> par le pays dans le souci de l’amélioration des services de santé de la reproduction et la maitrise démographique. </w:t>
      </w:r>
    </w:p>
    <w:p w:rsidR="00B4464C" w:rsidRPr="00A5720B" w:rsidRDefault="00B4464C" w:rsidP="00DB368C">
      <w:pPr>
        <w:jc w:val="both"/>
        <w:rPr>
          <w:rFonts w:cs="Times New Roman"/>
          <w:szCs w:val="24"/>
          <w:lang w:val="fr-FR"/>
        </w:rPr>
      </w:pPr>
      <w:r w:rsidRPr="00A5720B">
        <w:rPr>
          <w:rFonts w:cs="Times New Roman"/>
          <w:szCs w:val="24"/>
          <w:lang w:val="fr-FR"/>
        </w:rPr>
        <w:t xml:space="preserve">Ainsi, on peut citer les initiatives de mobilisation des municipalités en faveur de la PF (Alliance Droits et Santé, TCI), la promotion de la PF du post-partum (Impact II, Inspire…), </w:t>
      </w:r>
      <w:r w:rsidRPr="00A5720B">
        <w:rPr>
          <w:rFonts w:cs="Times New Roman"/>
          <w:iCs/>
          <w:szCs w:val="24"/>
          <w:lang w:val="fr-FR"/>
        </w:rPr>
        <w:t xml:space="preserve">révision du </w:t>
      </w:r>
      <w:r w:rsidR="00DB368C" w:rsidRPr="00A5720B">
        <w:rPr>
          <w:rFonts w:cs="Times New Roman"/>
          <w:iCs/>
          <w:szCs w:val="24"/>
          <w:lang w:val="fr-FR"/>
        </w:rPr>
        <w:t>décret d’application</w:t>
      </w:r>
      <w:r w:rsidRPr="00A5720B">
        <w:rPr>
          <w:rFonts w:cs="Times New Roman"/>
          <w:iCs/>
          <w:szCs w:val="24"/>
          <w:lang w:val="fr-FR"/>
        </w:rPr>
        <w:t xml:space="preserve"> de la loi SR de 2006 intégrant la Délégation des tâches ; la volonté de passer à l’échelle du DMPA-SC à tous les niveaux de la pyramide. A ceux-ci, il faut ajouter des acquis non négligeables comme la ligne </w:t>
      </w:r>
      <w:r w:rsidR="00DB368C" w:rsidRPr="00A5720B">
        <w:rPr>
          <w:rFonts w:cs="Times New Roman"/>
          <w:iCs/>
          <w:szCs w:val="24"/>
          <w:lang w:val="fr-FR"/>
        </w:rPr>
        <w:t>de financement de</w:t>
      </w:r>
      <w:r w:rsidRPr="00A5720B">
        <w:rPr>
          <w:rFonts w:cs="Times New Roman"/>
          <w:iCs/>
          <w:szCs w:val="24"/>
          <w:lang w:val="fr-FR"/>
        </w:rPr>
        <w:t xml:space="preserve"> l’achat </w:t>
      </w:r>
      <w:r w:rsidR="00DB368C" w:rsidRPr="00A5720B">
        <w:rPr>
          <w:rFonts w:cs="Times New Roman"/>
          <w:iCs/>
          <w:szCs w:val="24"/>
          <w:lang w:val="fr-FR"/>
        </w:rPr>
        <w:t>des produits</w:t>
      </w:r>
      <w:r w:rsidRPr="00A5720B">
        <w:rPr>
          <w:rFonts w:cs="Times New Roman"/>
          <w:iCs/>
          <w:szCs w:val="24"/>
          <w:lang w:val="fr-FR"/>
        </w:rPr>
        <w:t xml:space="preserve"> contraceptifs à hauteur de 200 millions alloués par l’Etat. En matière de documents/loi et/ou programmes, nous pourrons retenir les suivants : </w:t>
      </w:r>
    </w:p>
    <w:p w:rsidR="00A5720B" w:rsidRPr="00A5720B" w:rsidRDefault="00B4464C" w:rsidP="00361443">
      <w:pPr>
        <w:pStyle w:val="ListParagraph"/>
        <w:numPr>
          <w:ilvl w:val="0"/>
          <w:numId w:val="6"/>
        </w:numPr>
        <w:jc w:val="both"/>
        <w:rPr>
          <w:rFonts w:cs="Times New Roman"/>
          <w:szCs w:val="24"/>
          <w:lang w:val="fr-FR"/>
        </w:rPr>
      </w:pPr>
      <w:r w:rsidRPr="00A5720B">
        <w:rPr>
          <w:rFonts w:cs="Times New Roman"/>
          <w:b/>
          <w:szCs w:val="24"/>
          <w:lang w:val="fr-FR"/>
        </w:rPr>
        <w:t>La loi sur la santé de la reproduction (2006</w:t>
      </w:r>
      <w:r w:rsidR="009850DF" w:rsidRPr="00A5720B">
        <w:rPr>
          <w:rFonts w:cs="Times New Roman"/>
          <w:b/>
          <w:szCs w:val="24"/>
          <w:lang w:val="fr-FR"/>
        </w:rPr>
        <w:t>) :</w:t>
      </w:r>
      <w:r w:rsidRPr="00A5720B">
        <w:rPr>
          <w:rFonts w:cs="Times New Roman"/>
          <w:szCs w:val="24"/>
          <w:lang w:val="fr-FR"/>
        </w:rPr>
        <w:t xml:space="preserve"> elle autorise l’utilisation de la contraception par des moyens ou méthodes approuvés par l’autorité publique ; la fabrication, l’importation des produits contraceptifs de même que l’information et la sensibilisation sur les méthodes contraceptives</w:t>
      </w:r>
    </w:p>
    <w:p w:rsidR="00A5720B" w:rsidRPr="00A5720B" w:rsidRDefault="00B4464C" w:rsidP="00361443">
      <w:pPr>
        <w:pStyle w:val="ListParagraph"/>
        <w:numPr>
          <w:ilvl w:val="0"/>
          <w:numId w:val="6"/>
        </w:numPr>
        <w:jc w:val="both"/>
        <w:rPr>
          <w:rFonts w:cs="Times New Roman"/>
          <w:szCs w:val="24"/>
          <w:lang w:val="fr-FR"/>
        </w:rPr>
      </w:pPr>
      <w:r w:rsidRPr="00A5720B">
        <w:rPr>
          <w:rFonts w:cs="Times New Roman"/>
          <w:b/>
          <w:szCs w:val="24"/>
          <w:lang w:val="fr-FR"/>
        </w:rPr>
        <w:t>Les normes et procédures en matière de santé de la reproduction (2012)</w:t>
      </w:r>
      <w:r w:rsidRPr="00A5720B">
        <w:rPr>
          <w:rFonts w:cs="Times New Roman"/>
          <w:szCs w:val="24"/>
          <w:lang w:val="fr-FR"/>
        </w:rPr>
        <w:t> : document de référence du prestataire, il clarifie les tâches et les activités des prestataires du niveau périphérique en ce qui concerne les prestations communes, la planification familiale, les IST/VIH/SIDA, l’IEC/Counseling, la qualité de services et la prévention des infections ; la santé des jeunes &amp; adolescents.</w:t>
      </w:r>
    </w:p>
    <w:p w:rsidR="00A5720B" w:rsidRDefault="00B4464C" w:rsidP="00361443">
      <w:pPr>
        <w:pStyle w:val="ListParagraph"/>
        <w:numPr>
          <w:ilvl w:val="0"/>
          <w:numId w:val="6"/>
        </w:numPr>
        <w:jc w:val="both"/>
        <w:rPr>
          <w:rFonts w:cs="Times New Roman"/>
          <w:szCs w:val="24"/>
          <w:lang w:val="fr-FR"/>
        </w:rPr>
      </w:pPr>
      <w:r w:rsidRPr="00A5720B">
        <w:rPr>
          <w:rFonts w:cs="Times New Roman"/>
          <w:b/>
          <w:szCs w:val="24"/>
          <w:lang w:val="fr-FR"/>
        </w:rPr>
        <w:t>Manuel du participant à la formation en PF (2018</w:t>
      </w:r>
      <w:r w:rsidR="00A92AF2" w:rsidRPr="00A5720B">
        <w:rPr>
          <w:rFonts w:cs="Times New Roman"/>
          <w:b/>
          <w:szCs w:val="24"/>
          <w:lang w:val="fr-FR"/>
        </w:rPr>
        <w:t>) :</w:t>
      </w:r>
      <w:r w:rsidRPr="00A5720B">
        <w:rPr>
          <w:rFonts w:cs="Times New Roman"/>
          <w:szCs w:val="24"/>
          <w:lang w:val="fr-FR"/>
        </w:rPr>
        <w:t xml:space="preserve"> dans sa version actualisée, il prend en compte les dernières directives de l’OMS.  Il aborde plusieurs thématiques sur la SR et fait sa genèse.  Il enseigne </w:t>
      </w:r>
      <w:r w:rsidR="009850DF" w:rsidRPr="00A5720B">
        <w:rPr>
          <w:rFonts w:cs="Times New Roman"/>
          <w:szCs w:val="24"/>
          <w:lang w:val="fr-FR"/>
        </w:rPr>
        <w:t>sur l’anatomie</w:t>
      </w:r>
      <w:r w:rsidRPr="00A5720B">
        <w:rPr>
          <w:rFonts w:cs="Times New Roman"/>
          <w:szCs w:val="24"/>
          <w:lang w:val="fr-FR"/>
        </w:rPr>
        <w:t xml:space="preserve"> et la physiologie des appareils reproducteurs de l’homme et de la femme ainsi que sur le cycle menstruel de la femme, le bilan médical de la cliente/client. Il fait cas des principes de la prévention des infections, des techniques de préventions des infections… </w:t>
      </w:r>
    </w:p>
    <w:p w:rsidR="00B4464C" w:rsidRPr="00A5720B" w:rsidRDefault="00B4464C" w:rsidP="00361443">
      <w:pPr>
        <w:pStyle w:val="ListParagraph"/>
        <w:numPr>
          <w:ilvl w:val="0"/>
          <w:numId w:val="6"/>
        </w:numPr>
        <w:jc w:val="both"/>
        <w:rPr>
          <w:rFonts w:cs="Times New Roman"/>
          <w:szCs w:val="24"/>
          <w:lang w:val="fr-FR"/>
        </w:rPr>
      </w:pPr>
      <w:r w:rsidRPr="00A5720B">
        <w:rPr>
          <w:rFonts w:cs="Times New Roman"/>
          <w:b/>
          <w:szCs w:val="24"/>
          <w:lang w:val="fr-FR"/>
        </w:rPr>
        <w:lastRenderedPageBreak/>
        <w:t>Le plan de développement sanitaire (2017-2021)</w:t>
      </w:r>
      <w:r w:rsidRPr="00A5720B">
        <w:rPr>
          <w:rFonts w:cs="Times New Roman"/>
          <w:szCs w:val="24"/>
          <w:lang w:val="fr-FR"/>
        </w:rPr>
        <w:t> : il consacre parmi ses piliers d’interventions l’amélioration de l’offre, de la qualité des soins et de la demande de prestations et l’amélioration de la disponibilité des ressources physiques et intrants (infrastructures,</w:t>
      </w:r>
      <w:r w:rsidR="00A92AF2" w:rsidRPr="00A5720B">
        <w:rPr>
          <w:rFonts w:cs="Times New Roman"/>
          <w:szCs w:val="24"/>
          <w:lang w:val="fr-FR"/>
        </w:rPr>
        <w:t xml:space="preserve"> </w:t>
      </w:r>
      <w:r w:rsidRPr="00A5720B">
        <w:rPr>
          <w:rFonts w:cs="Times New Roman"/>
          <w:szCs w:val="24"/>
          <w:lang w:val="fr-FR"/>
        </w:rPr>
        <w:t>équipements et médicaments</w:t>
      </w:r>
      <w:r w:rsidR="00A92AF2" w:rsidRPr="00A5720B">
        <w:rPr>
          <w:rFonts w:cs="Times New Roman"/>
          <w:szCs w:val="24"/>
          <w:lang w:val="fr-FR"/>
        </w:rPr>
        <w:t>).</w:t>
      </w:r>
    </w:p>
    <w:p w:rsidR="00B4464C" w:rsidRDefault="00B4464C" w:rsidP="00DB368C">
      <w:pPr>
        <w:jc w:val="both"/>
        <w:rPr>
          <w:rFonts w:cs="Times New Roman"/>
          <w:szCs w:val="24"/>
          <w:lang w:val="fr-FR"/>
        </w:rPr>
      </w:pPr>
      <w:r w:rsidRPr="00A5720B">
        <w:rPr>
          <w:rFonts w:cs="Times New Roman"/>
          <w:szCs w:val="24"/>
          <w:lang w:val="fr-FR"/>
        </w:rPr>
        <w:t xml:space="preserve">Ces documents normatifs et programmatiques permettent de considérer que l’environnement habilitant au Niger est favorable pour le DMPA-SC même si des actions supplémentaires sont nécessaires pour renforcer ce cadre. </w:t>
      </w:r>
    </w:p>
    <w:p w:rsidR="00B4464C" w:rsidRPr="00C77A4E" w:rsidRDefault="00B4464C" w:rsidP="00177290">
      <w:pPr>
        <w:pStyle w:val="Style5"/>
        <w:ind w:left="0" w:firstLine="0"/>
      </w:pPr>
      <w:bookmarkStart w:id="123" w:name="_Toc19106056"/>
      <w:bookmarkStart w:id="124" w:name="_Toc19106312"/>
      <w:bookmarkStart w:id="125" w:name="_Toc19106488"/>
      <w:bookmarkStart w:id="126" w:name="_Toc19203080"/>
      <w:bookmarkEnd w:id="123"/>
      <w:bookmarkEnd w:id="124"/>
      <w:bookmarkEnd w:id="125"/>
      <w:r w:rsidRPr="00C77A4E">
        <w:t xml:space="preserve">Situation </w:t>
      </w:r>
      <w:r w:rsidR="00960999" w:rsidRPr="00C77A4E">
        <w:t xml:space="preserve">relative à </w:t>
      </w:r>
      <w:r w:rsidRPr="00C77A4E">
        <w:t>l’accès aux services</w:t>
      </w:r>
      <w:bookmarkEnd w:id="126"/>
    </w:p>
    <w:p w:rsidR="0079228E" w:rsidRPr="0079228E" w:rsidRDefault="0079228E" w:rsidP="003C5B1A">
      <w:pPr>
        <w:spacing w:after="120" w:line="240" w:lineRule="auto"/>
        <w:jc w:val="both"/>
        <w:rPr>
          <w:rFonts w:cs="Times New Roman"/>
          <w:sz w:val="2"/>
          <w:szCs w:val="24"/>
          <w:lang w:val="fr-FR"/>
        </w:rPr>
      </w:pPr>
    </w:p>
    <w:p w:rsidR="00B4464C" w:rsidRPr="00960999" w:rsidRDefault="00B4464C" w:rsidP="009850DF">
      <w:pPr>
        <w:jc w:val="both"/>
        <w:rPr>
          <w:rFonts w:cs="Times New Roman"/>
          <w:szCs w:val="24"/>
          <w:lang w:val="fr-FR"/>
        </w:rPr>
      </w:pPr>
      <w:r w:rsidRPr="00960999">
        <w:rPr>
          <w:rFonts w:cs="Times New Roman"/>
          <w:szCs w:val="24"/>
          <w:lang w:val="fr-FR"/>
        </w:rPr>
        <w:t xml:space="preserve">L’analyse de cette partie nous permettra d’avoir des aperçus clairs de la réalité de l’accès au Niger. Elle abordera la couverture géographique, les types de points de prestations qui existent et la situation des prestataires formés par catégorie. </w:t>
      </w:r>
    </w:p>
    <w:p w:rsidR="00B4464C" w:rsidRPr="003C5B1A" w:rsidRDefault="00B4464C" w:rsidP="00361443">
      <w:pPr>
        <w:pStyle w:val="ListParagraph"/>
        <w:numPr>
          <w:ilvl w:val="0"/>
          <w:numId w:val="7"/>
        </w:numPr>
        <w:jc w:val="both"/>
        <w:rPr>
          <w:rFonts w:cs="Times New Roman"/>
          <w:b/>
          <w:color w:val="44546A" w:themeColor="text2"/>
          <w:szCs w:val="24"/>
          <w:lang w:val="fr-FR"/>
        </w:rPr>
      </w:pPr>
      <w:r w:rsidRPr="003C5B1A">
        <w:rPr>
          <w:rFonts w:cs="Times New Roman"/>
          <w:b/>
          <w:color w:val="44546A" w:themeColor="text2"/>
          <w:szCs w:val="24"/>
          <w:lang w:val="fr-FR"/>
        </w:rPr>
        <w:t>Couverture géographique du</w:t>
      </w:r>
      <w:r w:rsidR="004F1209" w:rsidRPr="003C5B1A">
        <w:rPr>
          <w:rFonts w:cs="Times New Roman"/>
          <w:b/>
          <w:color w:val="44546A" w:themeColor="text2"/>
          <w:szCs w:val="24"/>
          <w:lang w:val="fr-FR"/>
        </w:rPr>
        <w:t xml:space="preserve"> DMPA-SC </w:t>
      </w:r>
    </w:p>
    <w:p w:rsidR="00C264FC" w:rsidRPr="00960999" w:rsidRDefault="00B4464C" w:rsidP="009850DF">
      <w:pPr>
        <w:jc w:val="both"/>
        <w:rPr>
          <w:rFonts w:cs="Times New Roman"/>
          <w:szCs w:val="24"/>
          <w:lang w:val="fr-FR"/>
        </w:rPr>
      </w:pPr>
      <w:r w:rsidRPr="00960999">
        <w:rPr>
          <w:rFonts w:cs="Times New Roman"/>
          <w:szCs w:val="24"/>
          <w:lang w:val="fr-FR"/>
        </w:rPr>
        <w:t>En termes de couverture géographique, le DMPA-SC est disponible au niveau des cases de santé du Niger. Environ 83% des cases de santé offrent</w:t>
      </w:r>
      <w:r w:rsidR="00C264FC" w:rsidRPr="00960999">
        <w:rPr>
          <w:rFonts w:cs="Times New Roman"/>
          <w:szCs w:val="24"/>
          <w:lang w:val="fr-FR"/>
        </w:rPr>
        <w:t xml:space="preserve"> le DMPA-SC</w:t>
      </w:r>
      <w:r w:rsidRPr="00960999">
        <w:rPr>
          <w:rFonts w:cs="Times New Roman"/>
          <w:szCs w:val="24"/>
          <w:lang w:val="fr-FR"/>
        </w:rPr>
        <w:t xml:space="preserve">. </w:t>
      </w:r>
      <w:r w:rsidR="00C264FC" w:rsidRPr="00960999">
        <w:rPr>
          <w:rFonts w:cs="Times New Roman"/>
          <w:szCs w:val="24"/>
          <w:lang w:val="fr-FR"/>
        </w:rPr>
        <w:t>Sur l’ensemble des 2304 cases de santé touchées, a</w:t>
      </w:r>
      <w:r w:rsidRPr="00960999">
        <w:rPr>
          <w:rFonts w:cs="Times New Roman"/>
          <w:szCs w:val="24"/>
          <w:lang w:val="fr-FR"/>
        </w:rPr>
        <w:t xml:space="preserve">u moins un agent de santé communautaire a été formé sur l’administration du DMPA-SC. </w:t>
      </w:r>
    </w:p>
    <w:p w:rsidR="00B4464C" w:rsidRPr="00960999" w:rsidRDefault="00B4464C" w:rsidP="009850DF">
      <w:pPr>
        <w:jc w:val="both"/>
        <w:rPr>
          <w:rFonts w:cs="Times New Roman"/>
          <w:szCs w:val="24"/>
          <w:lang w:val="fr-FR"/>
        </w:rPr>
      </w:pPr>
      <w:r w:rsidRPr="00960999">
        <w:rPr>
          <w:rFonts w:cs="Times New Roman"/>
          <w:szCs w:val="24"/>
          <w:lang w:val="fr-FR"/>
        </w:rPr>
        <w:t xml:space="preserve">Par ailleurs, le passage à l’échelle effectif du </w:t>
      </w:r>
      <w:proofErr w:type="spellStart"/>
      <w:r w:rsidRPr="00960999">
        <w:rPr>
          <w:rFonts w:cs="Times New Roman"/>
          <w:szCs w:val="24"/>
          <w:lang w:val="fr-FR"/>
        </w:rPr>
        <w:t>Sayana</w:t>
      </w:r>
      <w:proofErr w:type="spellEnd"/>
      <w:r w:rsidRPr="00960999">
        <w:rPr>
          <w:rFonts w:cs="Times New Roman"/>
          <w:szCs w:val="24"/>
          <w:lang w:val="fr-FR"/>
        </w:rPr>
        <w:t xml:space="preserve"> </w:t>
      </w:r>
      <w:proofErr w:type="spellStart"/>
      <w:r w:rsidRPr="00960999">
        <w:rPr>
          <w:rFonts w:cs="Times New Roman"/>
          <w:szCs w:val="24"/>
          <w:lang w:val="fr-FR"/>
        </w:rPr>
        <w:t>Press</w:t>
      </w:r>
      <w:proofErr w:type="spellEnd"/>
      <w:r w:rsidRPr="00960999">
        <w:rPr>
          <w:rFonts w:cs="Times New Roman"/>
          <w:szCs w:val="24"/>
          <w:lang w:val="fr-FR"/>
        </w:rPr>
        <w:t xml:space="preserve"> au niveau périphérique et sa délégation permettront de le rendre disponible </w:t>
      </w:r>
      <w:r w:rsidR="00C264FC" w:rsidRPr="00960999">
        <w:rPr>
          <w:rFonts w:cs="Times New Roman"/>
          <w:szCs w:val="24"/>
          <w:lang w:val="fr-FR"/>
        </w:rPr>
        <w:t xml:space="preserve">également </w:t>
      </w:r>
      <w:r w:rsidRPr="00960999">
        <w:rPr>
          <w:rFonts w:cs="Times New Roman"/>
          <w:szCs w:val="24"/>
          <w:lang w:val="fr-FR"/>
        </w:rPr>
        <w:t xml:space="preserve">au niveau de la communauté à travers les relais communautaires. Le choix stratégique des autorités nigériennes de placer le produit au niveau </w:t>
      </w:r>
      <w:r w:rsidR="00C264FC" w:rsidRPr="00960999">
        <w:rPr>
          <w:rFonts w:cs="Times New Roman"/>
          <w:szCs w:val="24"/>
          <w:lang w:val="fr-FR"/>
        </w:rPr>
        <w:t xml:space="preserve">des </w:t>
      </w:r>
      <w:r w:rsidRPr="00960999">
        <w:rPr>
          <w:rFonts w:cs="Times New Roman"/>
          <w:szCs w:val="24"/>
          <w:lang w:val="fr-FR"/>
        </w:rPr>
        <w:t>case</w:t>
      </w:r>
      <w:r w:rsidR="00C264FC" w:rsidRPr="00960999">
        <w:rPr>
          <w:rFonts w:cs="Times New Roman"/>
          <w:szCs w:val="24"/>
          <w:lang w:val="fr-FR"/>
        </w:rPr>
        <w:t>s</w:t>
      </w:r>
      <w:r w:rsidRPr="00960999">
        <w:rPr>
          <w:rFonts w:cs="Times New Roman"/>
          <w:szCs w:val="24"/>
          <w:lang w:val="fr-FR"/>
        </w:rPr>
        <w:t xml:space="preserve"> de santé est guidé par le souci de rendre disponible le produit dans les endroits reculés. </w:t>
      </w:r>
    </w:p>
    <w:p w:rsidR="00B4464C" w:rsidRPr="003C5B1A" w:rsidRDefault="00B4464C" w:rsidP="00361443">
      <w:pPr>
        <w:pStyle w:val="ListParagraph"/>
        <w:numPr>
          <w:ilvl w:val="0"/>
          <w:numId w:val="7"/>
        </w:numPr>
        <w:jc w:val="both"/>
        <w:rPr>
          <w:rFonts w:cs="Times New Roman"/>
          <w:b/>
          <w:color w:val="44546A" w:themeColor="text2"/>
          <w:szCs w:val="24"/>
          <w:lang w:val="fr-FR"/>
        </w:rPr>
      </w:pPr>
      <w:r w:rsidRPr="003C5B1A">
        <w:rPr>
          <w:rFonts w:cs="Times New Roman"/>
          <w:b/>
          <w:color w:val="44546A" w:themeColor="text2"/>
          <w:szCs w:val="24"/>
          <w:lang w:val="fr-FR"/>
        </w:rPr>
        <w:t>Les types de points de</w:t>
      </w:r>
      <w:r w:rsidR="004F1209" w:rsidRPr="003C5B1A">
        <w:rPr>
          <w:rFonts w:cs="Times New Roman"/>
          <w:b/>
          <w:color w:val="44546A" w:themeColor="text2"/>
          <w:szCs w:val="24"/>
          <w:lang w:val="fr-FR"/>
        </w:rPr>
        <w:t xml:space="preserve"> prestations existants </w:t>
      </w:r>
    </w:p>
    <w:p w:rsidR="00421A1A" w:rsidRPr="00960999" w:rsidRDefault="00B4464C" w:rsidP="00421A1A">
      <w:pPr>
        <w:spacing w:after="0"/>
        <w:jc w:val="both"/>
        <w:rPr>
          <w:rFonts w:cs="Times New Roman"/>
          <w:szCs w:val="24"/>
          <w:lang w:val="fr-FR"/>
        </w:rPr>
      </w:pPr>
      <w:r w:rsidRPr="00960999">
        <w:rPr>
          <w:rFonts w:cs="Times New Roman"/>
          <w:szCs w:val="24"/>
          <w:lang w:val="fr-FR"/>
        </w:rPr>
        <w:t xml:space="preserve">Le Niger ayant </w:t>
      </w:r>
      <w:r w:rsidR="009850DF" w:rsidRPr="00960999">
        <w:rPr>
          <w:rFonts w:cs="Times New Roman"/>
          <w:szCs w:val="24"/>
          <w:lang w:val="fr-FR"/>
        </w:rPr>
        <w:t>fait le</w:t>
      </w:r>
      <w:r w:rsidRPr="00960999">
        <w:rPr>
          <w:rFonts w:cs="Times New Roman"/>
          <w:szCs w:val="24"/>
          <w:lang w:val="fr-FR"/>
        </w:rPr>
        <w:t xml:space="preserve"> choix d’introduire le produit au niveau périphérique, plus précisément au niveau des cases de santé</w:t>
      </w:r>
      <w:r w:rsidR="00960999" w:rsidRPr="00960999">
        <w:rPr>
          <w:rFonts w:cs="Times New Roman"/>
          <w:szCs w:val="24"/>
          <w:lang w:val="fr-FR"/>
        </w:rPr>
        <w:t xml:space="preserve"> uniquement. A</w:t>
      </w:r>
      <w:r w:rsidRPr="00960999">
        <w:rPr>
          <w:rFonts w:cs="Times New Roman"/>
          <w:szCs w:val="24"/>
          <w:lang w:val="fr-FR"/>
        </w:rPr>
        <w:t>ctuellement, le produit ne figure pas dans la gamme des produits contraceptifs offerts aux clientes au niveau régional et au niveau central. Néanmoins, une opportunité de passage à l’échelle du produit au niveau de toute la pyramide sanitaire est en vue avec le risque d’arrêt momentané de production au niveau mondial du DMPA-IM qui entrainera sans nul doute le remplacement du DMPA-IM par le DMPA-</w:t>
      </w:r>
      <w:r w:rsidR="009850DF" w:rsidRPr="00960999">
        <w:rPr>
          <w:rFonts w:cs="Times New Roman"/>
          <w:szCs w:val="24"/>
          <w:lang w:val="fr-FR"/>
        </w:rPr>
        <w:t>SC ;</w:t>
      </w:r>
      <w:r w:rsidRPr="00960999">
        <w:rPr>
          <w:rFonts w:cs="Times New Roman"/>
          <w:szCs w:val="24"/>
          <w:lang w:val="fr-FR"/>
        </w:rPr>
        <w:t xml:space="preserve"> mais aussi de l’autorisation de la délégation des tâches très attendue par les OSC actives dans le domaine. </w:t>
      </w:r>
    </w:p>
    <w:tbl>
      <w:tblPr>
        <w:tblStyle w:val="TableGrid"/>
        <w:tblpPr w:leftFromText="180" w:rightFromText="180" w:vertAnchor="text" w:horzAnchor="page" w:tblpX="1231" w:tblpY="293"/>
        <w:tblW w:w="0" w:type="auto"/>
        <w:tblLook w:val="04A0" w:firstRow="1" w:lastRow="0" w:firstColumn="1" w:lastColumn="0" w:noHBand="0" w:noVBand="1"/>
      </w:tblPr>
      <w:tblGrid>
        <w:gridCol w:w="9861"/>
      </w:tblGrid>
      <w:tr w:rsidR="00421A1A" w:rsidRPr="00FC1C39" w:rsidTr="00FA343C">
        <w:trPr>
          <w:trHeight w:val="787"/>
        </w:trPr>
        <w:tc>
          <w:tcPr>
            <w:tcW w:w="9861" w:type="dxa"/>
            <w:tcBorders>
              <w:top w:val="single" w:sz="4" w:space="0" w:color="4472C4"/>
              <w:left w:val="single" w:sz="4" w:space="0" w:color="4472C4"/>
              <w:bottom w:val="single" w:sz="4" w:space="0" w:color="4472C4"/>
              <w:right w:val="single" w:sz="4" w:space="0" w:color="4472C4"/>
            </w:tcBorders>
          </w:tcPr>
          <w:p w:rsidR="00421A1A" w:rsidRPr="00960999" w:rsidRDefault="00421A1A" w:rsidP="00BE5D77">
            <w:pPr>
              <w:jc w:val="both"/>
              <w:rPr>
                <w:rFonts w:cs="Times New Roman"/>
                <w:b/>
                <w:bCs/>
                <w:i/>
                <w:color w:val="4472C4" w:themeColor="accent5"/>
                <w:szCs w:val="24"/>
                <w:lang w:val="fr-FR"/>
              </w:rPr>
            </w:pPr>
            <w:r w:rsidRPr="00960999">
              <w:rPr>
                <w:rFonts w:cs="Times New Roman"/>
                <w:b/>
                <w:bCs/>
                <w:i/>
                <w:color w:val="4472C4" w:themeColor="accent5"/>
                <w:szCs w:val="24"/>
                <w:lang w:val="fr-FR"/>
              </w:rPr>
              <w:t>Encadre 6</w:t>
            </w:r>
            <w:r w:rsidR="003964BA" w:rsidRPr="00960999">
              <w:rPr>
                <w:rFonts w:cs="Times New Roman"/>
                <w:b/>
                <w:bCs/>
                <w:i/>
                <w:color w:val="4472C4" w:themeColor="accent5"/>
                <w:szCs w:val="24"/>
                <w:lang w:val="fr-FR"/>
              </w:rPr>
              <w:t xml:space="preserve"> : contexte du projet d’adoption de la loi sur les prestations de </w:t>
            </w:r>
            <w:proofErr w:type="spellStart"/>
            <w:r w:rsidR="003964BA" w:rsidRPr="00960999">
              <w:rPr>
                <w:rFonts w:cs="Times New Roman"/>
                <w:b/>
                <w:bCs/>
                <w:i/>
                <w:color w:val="4472C4" w:themeColor="accent5"/>
                <w:szCs w:val="24"/>
                <w:lang w:val="fr-FR"/>
              </w:rPr>
              <w:t>servicese</w:t>
            </w:r>
            <w:proofErr w:type="spellEnd"/>
            <w:r w:rsidR="003964BA" w:rsidRPr="00960999">
              <w:rPr>
                <w:rFonts w:cs="Times New Roman"/>
                <w:b/>
                <w:bCs/>
                <w:i/>
                <w:color w:val="4472C4" w:themeColor="accent5"/>
                <w:szCs w:val="24"/>
                <w:lang w:val="fr-FR"/>
              </w:rPr>
              <w:t xml:space="preserve"> en SR</w:t>
            </w:r>
          </w:p>
          <w:p w:rsidR="00421A1A" w:rsidRPr="00960999" w:rsidRDefault="00421A1A" w:rsidP="00421A1A">
            <w:pPr>
              <w:jc w:val="both"/>
              <w:rPr>
                <w:rFonts w:cs="Times New Roman"/>
                <w:i/>
                <w:szCs w:val="24"/>
                <w:lang w:val="fr-FR"/>
              </w:rPr>
            </w:pPr>
            <w:r w:rsidRPr="00960999">
              <w:rPr>
                <w:rFonts w:cs="Times New Roman"/>
                <w:i/>
                <w:szCs w:val="24"/>
                <w:lang w:val="fr-FR"/>
              </w:rPr>
              <w:t xml:space="preserve">Depuis près de deux ans, un plaidoyer est mené par certains acteurs comme </w:t>
            </w:r>
            <w:proofErr w:type="spellStart"/>
            <w:r w:rsidRPr="00960999">
              <w:rPr>
                <w:rFonts w:cs="Times New Roman"/>
                <w:i/>
                <w:szCs w:val="24"/>
                <w:lang w:val="fr-FR"/>
              </w:rPr>
              <w:t>Pathfinder</w:t>
            </w:r>
            <w:proofErr w:type="spellEnd"/>
            <w:r w:rsidRPr="00960999">
              <w:rPr>
                <w:rFonts w:cs="Times New Roman"/>
                <w:i/>
                <w:szCs w:val="24"/>
                <w:lang w:val="fr-FR"/>
              </w:rPr>
              <w:t xml:space="preserve"> et HP+ pour la révision du décret d’application de la loi sur la santé de la reproduction. Cette révision a été obtenue et elle avait pris en compte la délégation des tâches en matière d’administration du DMPA-SC en faveur des relais communautaires. A cet effet, un projet de décret a été introduit pour adoption en conseil des ministres mais qui malheureusement a été renvoyé pour seconde lecture. </w:t>
            </w:r>
          </w:p>
        </w:tc>
      </w:tr>
    </w:tbl>
    <w:p w:rsidR="00421A1A" w:rsidRPr="00960999" w:rsidRDefault="00421A1A" w:rsidP="009850DF">
      <w:pPr>
        <w:jc w:val="both"/>
        <w:rPr>
          <w:rFonts w:cs="Times New Roman"/>
          <w:szCs w:val="24"/>
          <w:lang w:val="fr-FR"/>
        </w:rPr>
      </w:pPr>
    </w:p>
    <w:p w:rsidR="00BE5D77" w:rsidRDefault="00BE5D77" w:rsidP="009850DF">
      <w:pPr>
        <w:jc w:val="both"/>
        <w:rPr>
          <w:rFonts w:cs="Times New Roman"/>
          <w:sz w:val="2"/>
          <w:szCs w:val="24"/>
          <w:lang w:val="fr-FR"/>
        </w:rPr>
      </w:pPr>
    </w:p>
    <w:p w:rsidR="003C5B1A" w:rsidRPr="00960999" w:rsidRDefault="003C5B1A" w:rsidP="009850DF">
      <w:pPr>
        <w:jc w:val="both"/>
        <w:rPr>
          <w:rFonts w:cs="Times New Roman"/>
          <w:sz w:val="2"/>
          <w:szCs w:val="24"/>
          <w:lang w:val="fr-FR"/>
        </w:rPr>
      </w:pPr>
    </w:p>
    <w:p w:rsidR="006C0B83" w:rsidRPr="006C0B83" w:rsidRDefault="006C0B83" w:rsidP="006C0B83">
      <w:pPr>
        <w:pStyle w:val="ListParagraph"/>
        <w:ind w:left="360"/>
        <w:jc w:val="both"/>
        <w:rPr>
          <w:rFonts w:cs="Times New Roman"/>
          <w:b/>
          <w:color w:val="44546A" w:themeColor="text2"/>
          <w:szCs w:val="24"/>
          <w:lang w:val="fr-FR"/>
        </w:rPr>
      </w:pPr>
    </w:p>
    <w:p w:rsidR="00B4464C" w:rsidRPr="003C5B1A" w:rsidRDefault="00B4464C" w:rsidP="00361443">
      <w:pPr>
        <w:pStyle w:val="ListParagraph"/>
        <w:numPr>
          <w:ilvl w:val="0"/>
          <w:numId w:val="7"/>
        </w:numPr>
        <w:jc w:val="both"/>
        <w:rPr>
          <w:rFonts w:cs="Times New Roman"/>
          <w:b/>
          <w:color w:val="44546A" w:themeColor="text2"/>
          <w:szCs w:val="24"/>
          <w:lang w:val="fr-FR"/>
        </w:rPr>
      </w:pPr>
      <w:r w:rsidRPr="003C5B1A">
        <w:rPr>
          <w:rFonts w:cs="Times New Roman"/>
          <w:b/>
          <w:color w:val="44546A" w:themeColor="text2"/>
          <w:szCs w:val="24"/>
          <w:lang w:val="fr-FR"/>
        </w:rPr>
        <w:t>Prestataires formés par catégor</w:t>
      </w:r>
      <w:r w:rsidR="004F1209" w:rsidRPr="003C5B1A">
        <w:rPr>
          <w:rFonts w:cs="Times New Roman"/>
          <w:b/>
          <w:color w:val="44546A" w:themeColor="text2"/>
          <w:szCs w:val="24"/>
          <w:lang w:val="fr-FR"/>
        </w:rPr>
        <w:t xml:space="preserve">ie à l’offre du DMPA-SC </w:t>
      </w:r>
    </w:p>
    <w:p w:rsidR="00960999" w:rsidRDefault="006C0B83" w:rsidP="00356100">
      <w:pPr>
        <w:spacing w:after="0"/>
        <w:jc w:val="both"/>
        <w:rPr>
          <w:rFonts w:cs="Times New Roman"/>
          <w:szCs w:val="24"/>
          <w:lang w:val="fr-FR"/>
        </w:rPr>
      </w:pPr>
      <w:r>
        <w:rPr>
          <w:rFonts w:cs="Times New Roman"/>
          <w:noProof/>
          <w:szCs w:val="24"/>
        </w:rPr>
        <mc:AlternateContent>
          <mc:Choice Requires="wps">
            <w:drawing>
              <wp:anchor distT="0" distB="0" distL="114300" distR="114300" simplePos="0" relativeHeight="251676672" behindDoc="0" locked="0" layoutInCell="1" allowOverlap="1" wp14:anchorId="3A1B27F5" wp14:editId="3ED8B4F3">
                <wp:simplePos x="0" y="0"/>
                <wp:positionH relativeFrom="margin">
                  <wp:posOffset>-65130</wp:posOffset>
                </wp:positionH>
                <wp:positionV relativeFrom="margin">
                  <wp:posOffset>1053956</wp:posOffset>
                </wp:positionV>
                <wp:extent cx="1384300" cy="800100"/>
                <wp:effectExtent l="0" t="0" r="25400" b="19050"/>
                <wp:wrapSquare wrapText="bothSides"/>
                <wp:docPr id="174" name="Text Box 174"/>
                <wp:cNvGraphicFramePr/>
                <a:graphic xmlns:a="http://schemas.openxmlformats.org/drawingml/2006/main">
                  <a:graphicData uri="http://schemas.microsoft.com/office/word/2010/wordprocessingShape">
                    <wps:wsp>
                      <wps:cNvSpPr txBox="1"/>
                      <wps:spPr>
                        <a:xfrm>
                          <a:off x="0" y="0"/>
                          <a:ext cx="1384300" cy="800100"/>
                        </a:xfrm>
                        <a:prstGeom prst="rect">
                          <a:avLst/>
                        </a:prstGeom>
                        <a:solidFill>
                          <a:schemeClr val="lt1"/>
                        </a:solidFill>
                        <a:ln w="6350">
                          <a:solidFill>
                            <a:schemeClr val="accent2">
                              <a:lumMod val="60000"/>
                              <a:lumOff val="40000"/>
                            </a:schemeClr>
                          </a:solidFill>
                        </a:ln>
                      </wps:spPr>
                      <wps:txbx>
                        <w:txbxContent>
                          <w:p w:rsidR="00177290" w:rsidRPr="00960999" w:rsidRDefault="00177290" w:rsidP="00960999">
                            <w:pPr>
                              <w:shd w:val="clear" w:color="auto" w:fill="FBE4D5" w:themeFill="accent2" w:themeFillTint="33"/>
                              <w:jc w:val="center"/>
                              <w:rPr>
                                <w:i/>
                                <w:sz w:val="16"/>
                                <w:lang w:val="fr-FR"/>
                              </w:rPr>
                            </w:pPr>
                            <w:r w:rsidRPr="00960999">
                              <w:rPr>
                                <w:i/>
                                <w:sz w:val="16"/>
                                <w:lang w:val="fr-FR"/>
                              </w:rPr>
                              <w:t xml:space="preserve">Le Niger à fait un choix de ne pas </w:t>
                            </w:r>
                            <w:proofErr w:type="spellStart"/>
                            <w:r w:rsidRPr="00960999">
                              <w:rPr>
                                <w:i/>
                                <w:sz w:val="16"/>
                                <w:lang w:val="fr-FR"/>
                              </w:rPr>
                              <w:t>co</w:t>
                            </w:r>
                            <w:proofErr w:type="spellEnd"/>
                            <w:r w:rsidRPr="00960999">
                              <w:rPr>
                                <w:i/>
                                <w:sz w:val="16"/>
                                <w:lang w:val="fr-FR"/>
                              </w:rPr>
                              <w:t>-positionner le DMPA-SC et le DMPA-IM dans les centres de santé intégrés et les hôpitaux.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27F5" id="_x0000_t202" coordsize="21600,21600" o:spt="202" path="m,l,21600r21600,l21600,xe">
                <v:stroke joinstyle="miter"/>
                <v:path gradientshapeok="t" o:connecttype="rect"/>
              </v:shapetype>
              <v:shape id="Text Box 174" o:spid="_x0000_s1037" type="#_x0000_t202" style="position:absolute;left:0;text-align:left;margin-left:-5.15pt;margin-top:83pt;width:109pt;height:6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" fillcolor="white [3201]" strokecolor="#f4b083 [1941]" strokeweight=".5pt">
                <v:textbox>
                  <w:txbxContent>
                    <w:p w:rsidR="00177290" w:rsidRPr="00960999" w:rsidRDefault="00177290" w:rsidP="00960999">
                      <w:pPr>
                        <w:shd w:val="clear" w:color="auto" w:fill="FBE4D5" w:themeFill="accent2" w:themeFillTint="33"/>
                        <w:jc w:val="center"/>
                        <w:rPr>
                          <w:i/>
                          <w:sz w:val="16"/>
                          <w:lang w:val="fr-FR"/>
                        </w:rPr>
                      </w:pPr>
                      <w:r w:rsidRPr="00960999">
                        <w:rPr>
                          <w:i/>
                          <w:sz w:val="16"/>
                          <w:lang w:val="fr-FR"/>
                        </w:rPr>
                        <w:t xml:space="preserve">Le Niger à fait un choix de ne pas </w:t>
                      </w:r>
                      <w:proofErr w:type="spellStart"/>
                      <w:r w:rsidRPr="00960999">
                        <w:rPr>
                          <w:i/>
                          <w:sz w:val="16"/>
                          <w:lang w:val="fr-FR"/>
                        </w:rPr>
                        <w:t>co</w:t>
                      </w:r>
                      <w:proofErr w:type="spellEnd"/>
                      <w:r w:rsidRPr="00960999">
                        <w:rPr>
                          <w:i/>
                          <w:sz w:val="16"/>
                          <w:lang w:val="fr-FR"/>
                        </w:rPr>
                        <w:t>-positionner le DMPA-SC et le DMPA-IM dans les centres de santé intégrés et les hôpitaux.</w:t>
                      </w:r>
                    </w:p>
                  </w:txbxContent>
                </v:textbox>
                <w10:wrap type="square" anchorx="margin" anchory="margin"/>
              </v:shape>
            </w:pict>
          </mc:Fallback>
        </mc:AlternateContent>
      </w:r>
      <w:r w:rsidR="00B4464C" w:rsidRPr="00960999">
        <w:rPr>
          <w:rFonts w:cs="Times New Roman"/>
          <w:szCs w:val="24"/>
          <w:lang w:val="fr-FR"/>
        </w:rPr>
        <w:t xml:space="preserve">Le ministère de la santé et </w:t>
      </w:r>
      <w:r w:rsidR="009850DF" w:rsidRPr="00960999">
        <w:rPr>
          <w:rFonts w:cs="Times New Roman"/>
          <w:szCs w:val="24"/>
          <w:lang w:val="fr-FR"/>
        </w:rPr>
        <w:t>ses partenaires</w:t>
      </w:r>
      <w:r w:rsidR="00B4464C" w:rsidRPr="00960999">
        <w:rPr>
          <w:rFonts w:cs="Times New Roman"/>
          <w:szCs w:val="24"/>
          <w:lang w:val="fr-FR"/>
        </w:rPr>
        <w:t xml:space="preserve"> ont mené plusieurs sessions de renforcement des </w:t>
      </w:r>
      <w:r w:rsidR="009850DF" w:rsidRPr="00960999">
        <w:rPr>
          <w:rFonts w:cs="Times New Roman"/>
          <w:szCs w:val="24"/>
          <w:lang w:val="fr-FR"/>
        </w:rPr>
        <w:t xml:space="preserve">capacités </w:t>
      </w:r>
      <w:r w:rsidR="00D06818" w:rsidRPr="00960999">
        <w:rPr>
          <w:rFonts w:cs="Times New Roman"/>
          <w:szCs w:val="24"/>
          <w:lang w:val="fr-FR"/>
        </w:rPr>
        <w:t>à l’endroit</w:t>
      </w:r>
      <w:r w:rsidR="00B4464C" w:rsidRPr="00960999">
        <w:rPr>
          <w:rFonts w:cs="Times New Roman"/>
          <w:szCs w:val="24"/>
          <w:lang w:val="fr-FR"/>
        </w:rPr>
        <w:t xml:space="preserve"> des cadres et des prestataires</w:t>
      </w:r>
      <w:r w:rsidR="003628A9" w:rsidRPr="00960999">
        <w:rPr>
          <w:rFonts w:cs="Times New Roman"/>
          <w:szCs w:val="24"/>
          <w:lang w:val="fr-FR"/>
        </w:rPr>
        <w:t xml:space="preserve"> de santé</w:t>
      </w:r>
      <w:r w:rsidR="00B4464C" w:rsidRPr="00960999">
        <w:rPr>
          <w:rFonts w:cs="Times New Roman"/>
          <w:szCs w:val="24"/>
          <w:lang w:val="fr-FR"/>
        </w:rPr>
        <w:t xml:space="preserve">. Ainsi, de 2016 à 2019, se sont </w:t>
      </w:r>
      <w:r w:rsidR="003628A9" w:rsidRPr="00960999">
        <w:rPr>
          <w:rFonts w:cs="Times New Roman"/>
          <w:szCs w:val="24"/>
          <w:lang w:val="fr-FR"/>
        </w:rPr>
        <w:t xml:space="preserve">1393 </w:t>
      </w:r>
      <w:r w:rsidR="00B4464C" w:rsidRPr="00960999">
        <w:rPr>
          <w:rFonts w:cs="Times New Roman"/>
          <w:szCs w:val="24"/>
          <w:lang w:val="fr-FR"/>
        </w:rPr>
        <w:t>prestataires</w:t>
      </w:r>
      <w:r w:rsidR="003628A9" w:rsidRPr="00960999">
        <w:rPr>
          <w:rFonts w:cs="Times New Roman"/>
          <w:szCs w:val="24"/>
          <w:lang w:val="fr-FR"/>
        </w:rPr>
        <w:t xml:space="preserve"> et 2798 agents de santé </w:t>
      </w:r>
      <w:r w:rsidR="003628A9" w:rsidRPr="00960999">
        <w:rPr>
          <w:rFonts w:cs="Times New Roman"/>
          <w:szCs w:val="24"/>
          <w:lang w:val="fr-FR"/>
        </w:rPr>
        <w:lastRenderedPageBreak/>
        <w:t>communautaires</w:t>
      </w:r>
      <w:r w:rsidR="003628A9" w:rsidRPr="00960999" w:rsidDel="003628A9">
        <w:rPr>
          <w:rFonts w:cs="Times New Roman"/>
          <w:szCs w:val="24"/>
          <w:lang w:val="fr-FR"/>
        </w:rPr>
        <w:t xml:space="preserve"> </w:t>
      </w:r>
      <w:r w:rsidR="00B4464C" w:rsidRPr="00960999">
        <w:rPr>
          <w:rFonts w:cs="Times New Roman"/>
          <w:szCs w:val="24"/>
          <w:lang w:val="fr-FR"/>
        </w:rPr>
        <w:t xml:space="preserve">qui ont été formés en administration du DMPA-SC. Aussi, des agents de certaines organisations ont été renforcés. </w:t>
      </w:r>
    </w:p>
    <w:p w:rsidR="003A1A52" w:rsidRDefault="00960999" w:rsidP="00356100">
      <w:pPr>
        <w:spacing w:after="0"/>
        <w:jc w:val="both"/>
        <w:rPr>
          <w:rFonts w:cs="Times New Roman"/>
          <w:szCs w:val="24"/>
          <w:lang w:val="fr-FR"/>
        </w:rPr>
      </w:pPr>
      <w:r>
        <w:rPr>
          <w:rFonts w:cs="Times New Roman"/>
          <w:szCs w:val="24"/>
          <w:lang w:val="fr-FR"/>
        </w:rPr>
        <w:t xml:space="preserve">Par ailleurs, il ressort que plusieurs sages-femmes et infirmiers ont été orientés ou formés dans le but d’être des formateurs des agents de santé qualifié et présentas dans les cases de santé, mais aussi à conduire les supervisions de ces derniers. Jusqu’à ce jour, ces sages-femmes et infirmiers ne sont autorisés qu’à offrir le DMPA-IM. </w:t>
      </w:r>
    </w:p>
    <w:p w:rsidR="003C5B1A" w:rsidRDefault="003C5B1A" w:rsidP="00356100">
      <w:pPr>
        <w:spacing w:after="0"/>
        <w:jc w:val="both"/>
        <w:rPr>
          <w:rFonts w:cs="Times New Roman"/>
          <w:szCs w:val="24"/>
          <w:lang w:val="fr-FR"/>
        </w:rPr>
      </w:pPr>
    </w:p>
    <w:p w:rsidR="0079228E" w:rsidRPr="003C5B1A" w:rsidRDefault="0079228E" w:rsidP="00356100">
      <w:pPr>
        <w:spacing w:after="0"/>
        <w:jc w:val="both"/>
        <w:rPr>
          <w:rFonts w:cs="Times New Roman"/>
          <w:sz w:val="6"/>
          <w:szCs w:val="24"/>
          <w:lang w:val="fr-FR"/>
        </w:rPr>
      </w:pPr>
    </w:p>
    <w:p w:rsidR="00B4464C" w:rsidRPr="00C77A4E" w:rsidRDefault="00960999" w:rsidP="00177290">
      <w:pPr>
        <w:pStyle w:val="Style5"/>
        <w:ind w:left="0" w:firstLine="0"/>
      </w:pPr>
      <w:bookmarkStart w:id="127" w:name="_Toc19106058"/>
      <w:bookmarkStart w:id="128" w:name="_Toc19106314"/>
      <w:bookmarkStart w:id="129" w:name="_Toc19106490"/>
      <w:bookmarkStart w:id="130" w:name="_Toc19106059"/>
      <w:bookmarkStart w:id="131" w:name="_Toc19106315"/>
      <w:bookmarkStart w:id="132" w:name="_Toc19106491"/>
      <w:bookmarkStart w:id="133" w:name="_Toc19106060"/>
      <w:bookmarkStart w:id="134" w:name="_Toc19106316"/>
      <w:bookmarkStart w:id="135" w:name="_Toc19106492"/>
      <w:bookmarkStart w:id="136" w:name="_Toc19106097"/>
      <w:bookmarkStart w:id="137" w:name="_Toc19106353"/>
      <w:bookmarkStart w:id="138" w:name="_Toc19106529"/>
      <w:bookmarkStart w:id="139" w:name="_Toc19203081"/>
      <w:bookmarkEnd w:id="127"/>
      <w:bookmarkEnd w:id="128"/>
      <w:bookmarkEnd w:id="129"/>
      <w:bookmarkEnd w:id="130"/>
      <w:bookmarkEnd w:id="131"/>
      <w:bookmarkEnd w:id="132"/>
      <w:bookmarkEnd w:id="133"/>
      <w:bookmarkEnd w:id="134"/>
      <w:bookmarkEnd w:id="135"/>
      <w:bookmarkEnd w:id="136"/>
      <w:bookmarkEnd w:id="137"/>
      <w:bookmarkEnd w:id="138"/>
      <w:r w:rsidRPr="00C77A4E">
        <w:t>Situation</w:t>
      </w:r>
      <w:r w:rsidR="00B4464C" w:rsidRPr="00C77A4E">
        <w:t xml:space="preserve"> relative à l’offre de services</w:t>
      </w:r>
      <w:bookmarkEnd w:id="139"/>
      <w:r w:rsidR="00B4464C" w:rsidRPr="00C77A4E">
        <w:t xml:space="preserve"> </w:t>
      </w:r>
    </w:p>
    <w:p w:rsidR="0079228E" w:rsidRPr="0079228E" w:rsidRDefault="0079228E" w:rsidP="009850DF">
      <w:pPr>
        <w:spacing w:after="0"/>
        <w:jc w:val="both"/>
        <w:rPr>
          <w:rFonts w:cs="Times New Roman"/>
          <w:sz w:val="4"/>
          <w:szCs w:val="24"/>
          <w:lang w:val="fr-FR"/>
        </w:rPr>
      </w:pPr>
    </w:p>
    <w:p w:rsidR="00960999" w:rsidRPr="00960999" w:rsidRDefault="00B4464C" w:rsidP="009850DF">
      <w:pPr>
        <w:spacing w:after="0"/>
        <w:jc w:val="both"/>
        <w:rPr>
          <w:rFonts w:cs="Times New Roman"/>
          <w:szCs w:val="24"/>
          <w:lang w:val="fr-FR"/>
        </w:rPr>
      </w:pPr>
      <w:r w:rsidRPr="00960999">
        <w:rPr>
          <w:rFonts w:cs="Times New Roman"/>
          <w:szCs w:val="24"/>
          <w:lang w:val="fr-FR"/>
        </w:rPr>
        <w:t>L’analyse de cette partie permettra de mettre en exergue le nombre et le pourcentage des formations sanitaires publiques qui rapportent l’offre du DMPA-SC, le nombre et pourcentage de formations sanitaires privées qui offrent le DMPA-SC, la situation des officines privées relative à l’offre du DMPA-SC et les statistiques DMPA-SC et DMPA-IM.</w:t>
      </w:r>
    </w:p>
    <w:p w:rsidR="00B4464C" w:rsidRPr="00960999" w:rsidRDefault="00B4464C" w:rsidP="009850DF">
      <w:pPr>
        <w:spacing w:after="0"/>
        <w:jc w:val="both"/>
        <w:rPr>
          <w:rFonts w:cs="Times New Roman"/>
          <w:sz w:val="18"/>
          <w:szCs w:val="24"/>
          <w:lang w:val="fr-FR"/>
        </w:rPr>
      </w:pPr>
      <w:r w:rsidRPr="00960999">
        <w:rPr>
          <w:rFonts w:cs="Times New Roman"/>
          <w:sz w:val="18"/>
          <w:szCs w:val="24"/>
          <w:lang w:val="fr-FR"/>
        </w:rPr>
        <w:t xml:space="preserve"> </w:t>
      </w:r>
    </w:p>
    <w:p w:rsidR="00B4464C" w:rsidRPr="003C5B1A" w:rsidRDefault="00960999" w:rsidP="00361443">
      <w:pPr>
        <w:pStyle w:val="ListParagraph"/>
        <w:numPr>
          <w:ilvl w:val="0"/>
          <w:numId w:val="8"/>
        </w:numPr>
        <w:spacing w:after="120"/>
        <w:ind w:left="357" w:hanging="357"/>
        <w:jc w:val="both"/>
        <w:rPr>
          <w:rFonts w:cs="Times New Roman"/>
          <w:b/>
          <w:color w:val="44546A" w:themeColor="text2"/>
          <w:szCs w:val="24"/>
          <w:lang w:val="fr-FR"/>
        </w:rPr>
      </w:pPr>
      <w:r w:rsidRPr="003C5B1A">
        <w:rPr>
          <w:rFonts w:cs="Times New Roman"/>
          <w:b/>
          <w:color w:val="44546A" w:themeColor="text2"/>
          <w:szCs w:val="24"/>
          <w:lang w:val="fr-FR"/>
        </w:rPr>
        <w:t>F</w:t>
      </w:r>
      <w:r w:rsidR="00B4464C" w:rsidRPr="003C5B1A">
        <w:rPr>
          <w:rFonts w:cs="Times New Roman"/>
          <w:b/>
          <w:color w:val="44546A" w:themeColor="text2"/>
          <w:szCs w:val="24"/>
          <w:lang w:val="fr-FR"/>
        </w:rPr>
        <w:t>ormations sanitaires publiques qui rapportent l’offre du DMPA-SC</w:t>
      </w:r>
    </w:p>
    <w:p w:rsidR="00B4464C" w:rsidRDefault="00B4464C" w:rsidP="00356100">
      <w:pPr>
        <w:spacing w:after="0"/>
        <w:jc w:val="both"/>
        <w:rPr>
          <w:rFonts w:cs="Times New Roman"/>
          <w:szCs w:val="24"/>
          <w:lang w:val="fr-FR"/>
        </w:rPr>
      </w:pPr>
      <w:r w:rsidRPr="00960999">
        <w:rPr>
          <w:rFonts w:cs="Times New Roman"/>
          <w:szCs w:val="24"/>
          <w:lang w:val="fr-FR"/>
        </w:rPr>
        <w:t xml:space="preserve">Ce sont 2304 cases de santé qui sont couvertes par le DMPA-SC. Le rapportage se fait par les points focaux SR au niveau des districts/DRSP. </w:t>
      </w:r>
    </w:p>
    <w:p w:rsidR="00960999" w:rsidRPr="00960999" w:rsidRDefault="00960999" w:rsidP="00356100">
      <w:pPr>
        <w:spacing w:after="0"/>
        <w:jc w:val="both"/>
        <w:rPr>
          <w:rFonts w:cs="Times New Roman"/>
          <w:sz w:val="10"/>
          <w:szCs w:val="24"/>
          <w:lang w:val="fr-FR"/>
        </w:rPr>
      </w:pPr>
    </w:p>
    <w:p w:rsidR="00B4464C" w:rsidRPr="003C5B1A" w:rsidRDefault="00960999" w:rsidP="00361443">
      <w:pPr>
        <w:pStyle w:val="ListParagraph"/>
        <w:numPr>
          <w:ilvl w:val="0"/>
          <w:numId w:val="8"/>
        </w:numPr>
        <w:spacing w:after="120" w:line="240" w:lineRule="auto"/>
        <w:ind w:left="357" w:hanging="357"/>
        <w:jc w:val="both"/>
        <w:rPr>
          <w:rFonts w:cs="Times New Roman"/>
          <w:b/>
          <w:color w:val="44546A" w:themeColor="text2"/>
          <w:szCs w:val="24"/>
          <w:lang w:val="fr-FR"/>
        </w:rPr>
      </w:pPr>
      <w:r w:rsidRPr="003C5B1A">
        <w:rPr>
          <w:rFonts w:cs="Times New Roman"/>
          <w:b/>
          <w:color w:val="44546A" w:themeColor="text2"/>
          <w:szCs w:val="24"/>
          <w:lang w:val="fr-FR"/>
        </w:rPr>
        <w:t>Formations</w:t>
      </w:r>
      <w:r w:rsidR="00B4464C" w:rsidRPr="003C5B1A">
        <w:rPr>
          <w:rFonts w:cs="Times New Roman"/>
          <w:b/>
          <w:color w:val="44546A" w:themeColor="text2"/>
          <w:szCs w:val="24"/>
          <w:lang w:val="fr-FR"/>
        </w:rPr>
        <w:t xml:space="preserve"> sanitaires privées qui offrent le DMPA-SC</w:t>
      </w:r>
    </w:p>
    <w:p w:rsidR="00B4464C" w:rsidRDefault="00B4464C" w:rsidP="009850DF">
      <w:pPr>
        <w:spacing w:after="0"/>
        <w:jc w:val="both"/>
        <w:rPr>
          <w:rFonts w:cs="Times New Roman"/>
          <w:szCs w:val="24"/>
          <w:lang w:val="fr-FR"/>
        </w:rPr>
      </w:pPr>
      <w:r w:rsidRPr="00960999">
        <w:rPr>
          <w:rFonts w:cs="Times New Roman"/>
          <w:szCs w:val="24"/>
          <w:lang w:val="fr-FR"/>
        </w:rPr>
        <w:t xml:space="preserve">Les formations sanitaires privées offrant le service sont restreintes. Niamey est la seule région où 59 cliniques font l’administration grâce au partenariat du marketing </w:t>
      </w:r>
      <w:r w:rsidR="00960999">
        <w:rPr>
          <w:rFonts w:cs="Times New Roman"/>
          <w:szCs w:val="24"/>
          <w:lang w:val="fr-FR"/>
        </w:rPr>
        <w:t>social promu par Animas Sutura.</w:t>
      </w:r>
    </w:p>
    <w:p w:rsidR="00960999" w:rsidRPr="00960999" w:rsidRDefault="00960999" w:rsidP="009850DF">
      <w:pPr>
        <w:spacing w:after="0"/>
        <w:jc w:val="both"/>
        <w:rPr>
          <w:rFonts w:cs="Times New Roman"/>
          <w:sz w:val="14"/>
          <w:szCs w:val="24"/>
          <w:lang w:val="fr-FR"/>
        </w:rPr>
      </w:pPr>
    </w:p>
    <w:p w:rsidR="00B4464C" w:rsidRPr="003C5B1A" w:rsidRDefault="00B4464C" w:rsidP="00361443">
      <w:pPr>
        <w:pStyle w:val="ListParagraph"/>
        <w:numPr>
          <w:ilvl w:val="0"/>
          <w:numId w:val="8"/>
        </w:numPr>
        <w:spacing w:after="120" w:line="240" w:lineRule="auto"/>
        <w:ind w:left="357" w:hanging="357"/>
        <w:jc w:val="both"/>
        <w:rPr>
          <w:rFonts w:cs="Times New Roman"/>
          <w:b/>
          <w:color w:val="44546A" w:themeColor="text2"/>
          <w:szCs w:val="24"/>
          <w:lang w:val="fr-FR"/>
        </w:rPr>
      </w:pPr>
      <w:r w:rsidRPr="003C5B1A">
        <w:rPr>
          <w:rFonts w:cs="Times New Roman"/>
          <w:b/>
          <w:color w:val="44546A" w:themeColor="text2"/>
          <w:szCs w:val="24"/>
          <w:lang w:val="fr-FR"/>
        </w:rPr>
        <w:t xml:space="preserve">Nombre d’officines privées qui offrent le DMPA-SC </w:t>
      </w:r>
    </w:p>
    <w:tbl>
      <w:tblPr>
        <w:tblStyle w:val="TableGrid"/>
        <w:tblpPr w:leftFromText="180" w:rightFromText="180" w:vertAnchor="text" w:horzAnchor="page" w:tblpX="1231" w:tblpY="293"/>
        <w:tblW w:w="0" w:type="auto"/>
        <w:tblLook w:val="04A0" w:firstRow="1" w:lastRow="0" w:firstColumn="1" w:lastColumn="0" w:noHBand="0" w:noVBand="1"/>
      </w:tblPr>
      <w:tblGrid>
        <w:gridCol w:w="9861"/>
      </w:tblGrid>
      <w:tr w:rsidR="00421A1A" w:rsidRPr="00FC1C39" w:rsidTr="00FA343C">
        <w:trPr>
          <w:trHeight w:val="787"/>
        </w:trPr>
        <w:tc>
          <w:tcPr>
            <w:tcW w:w="9861" w:type="dxa"/>
            <w:tcBorders>
              <w:top w:val="single" w:sz="4" w:space="0" w:color="4472C4"/>
              <w:left w:val="single" w:sz="4" w:space="0" w:color="4472C4"/>
              <w:bottom w:val="single" w:sz="4" w:space="0" w:color="4472C4"/>
              <w:right w:val="single" w:sz="4" w:space="0" w:color="4472C4"/>
            </w:tcBorders>
          </w:tcPr>
          <w:p w:rsidR="00421A1A" w:rsidRPr="00960999" w:rsidRDefault="00421A1A" w:rsidP="00BE5D77">
            <w:pPr>
              <w:jc w:val="both"/>
              <w:rPr>
                <w:rFonts w:cs="Times New Roman"/>
                <w:b/>
                <w:bCs/>
                <w:i/>
                <w:color w:val="4472C4" w:themeColor="accent5"/>
                <w:szCs w:val="24"/>
                <w:lang w:val="fr-FR"/>
              </w:rPr>
            </w:pPr>
            <w:r w:rsidRPr="00960999">
              <w:rPr>
                <w:rFonts w:cs="Times New Roman"/>
                <w:b/>
                <w:bCs/>
                <w:i/>
                <w:color w:val="4472C4" w:themeColor="accent5"/>
                <w:szCs w:val="24"/>
                <w:lang w:val="fr-FR"/>
              </w:rPr>
              <w:t>Encadre 7</w:t>
            </w:r>
            <w:r w:rsidR="003964BA" w:rsidRPr="00960999">
              <w:rPr>
                <w:rFonts w:cs="Times New Roman"/>
                <w:b/>
                <w:bCs/>
                <w:i/>
                <w:color w:val="4472C4" w:themeColor="accent5"/>
                <w:szCs w:val="24"/>
                <w:lang w:val="fr-FR"/>
              </w:rPr>
              <w:t> : nombre d’officine privées offrant le DMPA-SC</w:t>
            </w:r>
          </w:p>
          <w:p w:rsidR="00421A1A" w:rsidRPr="00960999" w:rsidRDefault="00421A1A" w:rsidP="00BE5D77">
            <w:pPr>
              <w:jc w:val="both"/>
              <w:rPr>
                <w:rFonts w:cs="Times New Roman"/>
                <w:i/>
                <w:szCs w:val="24"/>
                <w:lang w:val="fr-FR"/>
              </w:rPr>
            </w:pPr>
            <w:r w:rsidRPr="00960999">
              <w:rPr>
                <w:rFonts w:cs="Times New Roman"/>
                <w:i/>
                <w:szCs w:val="24"/>
                <w:lang w:val="fr-FR"/>
              </w:rPr>
              <w:t xml:space="preserve">Selon la législation sanitaire du Niger à ce jour, les officines privées ne sont pas autorisées à administrer directement le DMPA-SC. Néanmoins, aucune restriction n’est faite pour la vente du DMPA-SC bien que l’Office National des Produits Pharmaceutiques et Chimiques (ONPPC) dispose du monopole exclusif de l’importation du produit. Actuellement 93 pharmacies commercialisent le </w:t>
            </w:r>
            <w:proofErr w:type="spellStart"/>
            <w:r w:rsidRPr="00960999">
              <w:rPr>
                <w:rFonts w:cs="Times New Roman"/>
                <w:i/>
                <w:szCs w:val="24"/>
                <w:lang w:val="fr-FR"/>
              </w:rPr>
              <w:t>Sayana</w:t>
            </w:r>
            <w:proofErr w:type="spellEnd"/>
            <w:r w:rsidRPr="00960999">
              <w:rPr>
                <w:rFonts w:cs="Times New Roman"/>
                <w:i/>
                <w:szCs w:val="24"/>
                <w:lang w:val="fr-FR"/>
              </w:rPr>
              <w:t xml:space="preserve"> </w:t>
            </w:r>
            <w:proofErr w:type="spellStart"/>
            <w:r w:rsidRPr="00960999">
              <w:rPr>
                <w:rFonts w:cs="Times New Roman"/>
                <w:i/>
                <w:szCs w:val="24"/>
                <w:lang w:val="fr-FR"/>
              </w:rPr>
              <w:t>Press</w:t>
            </w:r>
            <w:proofErr w:type="spellEnd"/>
            <w:r w:rsidRPr="00960999">
              <w:rPr>
                <w:rFonts w:cs="Times New Roman"/>
                <w:i/>
                <w:szCs w:val="24"/>
                <w:lang w:val="fr-FR"/>
              </w:rPr>
              <w:t xml:space="preserve"> sous le label ‘’Sutura </w:t>
            </w:r>
            <w:proofErr w:type="spellStart"/>
            <w:r w:rsidRPr="00960999">
              <w:rPr>
                <w:rFonts w:cs="Times New Roman"/>
                <w:i/>
                <w:szCs w:val="24"/>
                <w:lang w:val="fr-FR"/>
              </w:rPr>
              <w:t>Press</w:t>
            </w:r>
            <w:proofErr w:type="spellEnd"/>
            <w:r w:rsidRPr="00960999">
              <w:rPr>
                <w:rFonts w:cs="Times New Roman"/>
                <w:i/>
                <w:szCs w:val="24"/>
                <w:lang w:val="fr-FR"/>
              </w:rPr>
              <w:t>’’ promu par</w:t>
            </w:r>
            <w:r w:rsidR="00960999">
              <w:rPr>
                <w:rFonts w:cs="Times New Roman"/>
                <w:i/>
                <w:szCs w:val="24"/>
                <w:lang w:val="fr-FR"/>
              </w:rPr>
              <w:t xml:space="preserve"> Animas Sutura.  </w:t>
            </w:r>
          </w:p>
        </w:tc>
      </w:tr>
    </w:tbl>
    <w:p w:rsidR="00421A1A" w:rsidRPr="00960999" w:rsidRDefault="00421A1A" w:rsidP="009850DF">
      <w:pPr>
        <w:jc w:val="both"/>
        <w:rPr>
          <w:rFonts w:cs="Times New Roman"/>
          <w:sz w:val="10"/>
          <w:szCs w:val="24"/>
          <w:lang w:val="fr-FR"/>
        </w:rPr>
      </w:pPr>
    </w:p>
    <w:p w:rsidR="00421A1A" w:rsidRPr="00960999" w:rsidRDefault="00421A1A" w:rsidP="00421A1A">
      <w:pPr>
        <w:spacing w:after="0"/>
        <w:jc w:val="both"/>
        <w:rPr>
          <w:rFonts w:cs="Times New Roman"/>
          <w:szCs w:val="24"/>
          <w:lang w:val="fr-FR"/>
        </w:rPr>
      </w:pPr>
    </w:p>
    <w:p w:rsidR="00B4464C" w:rsidRPr="00960999" w:rsidRDefault="00B4464C" w:rsidP="00421A1A">
      <w:pPr>
        <w:spacing w:after="0"/>
        <w:jc w:val="both"/>
        <w:rPr>
          <w:rFonts w:cs="Times New Roman"/>
          <w:szCs w:val="24"/>
          <w:lang w:val="fr-FR"/>
        </w:rPr>
      </w:pPr>
      <w:r w:rsidRPr="00960999">
        <w:rPr>
          <w:rFonts w:cs="Times New Roman"/>
          <w:szCs w:val="24"/>
          <w:lang w:val="fr-FR"/>
        </w:rPr>
        <w:t xml:space="preserve">Le personnel des pharmacies </w:t>
      </w:r>
      <w:r w:rsidR="008F77A0" w:rsidRPr="00960999">
        <w:rPr>
          <w:rFonts w:cs="Times New Roman"/>
          <w:szCs w:val="24"/>
          <w:lang w:val="fr-FR"/>
        </w:rPr>
        <w:t>contribue</w:t>
      </w:r>
      <w:r w:rsidRPr="00960999">
        <w:rPr>
          <w:rFonts w:cs="Times New Roman"/>
          <w:szCs w:val="24"/>
          <w:lang w:val="fr-FR"/>
        </w:rPr>
        <w:t xml:space="preserve"> </w:t>
      </w:r>
      <w:r w:rsidR="00421A1A" w:rsidRPr="00960999">
        <w:rPr>
          <w:rFonts w:cs="Times New Roman"/>
          <w:szCs w:val="24"/>
          <w:lang w:val="fr-FR"/>
        </w:rPr>
        <w:t xml:space="preserve">au </w:t>
      </w:r>
      <w:r w:rsidRPr="00960999">
        <w:rPr>
          <w:rFonts w:cs="Times New Roman"/>
          <w:szCs w:val="24"/>
          <w:lang w:val="fr-FR"/>
        </w:rPr>
        <w:t>renforce</w:t>
      </w:r>
      <w:r w:rsidR="008F77A0" w:rsidRPr="00960999">
        <w:rPr>
          <w:rFonts w:cs="Times New Roman"/>
          <w:szCs w:val="24"/>
          <w:lang w:val="fr-FR"/>
        </w:rPr>
        <w:t>ment</w:t>
      </w:r>
      <w:r w:rsidRPr="00960999">
        <w:rPr>
          <w:rFonts w:cs="Times New Roman"/>
          <w:szCs w:val="24"/>
          <w:lang w:val="fr-FR"/>
        </w:rPr>
        <w:t xml:space="preserve"> </w:t>
      </w:r>
      <w:r w:rsidR="008F77A0" w:rsidRPr="00960999">
        <w:rPr>
          <w:rFonts w:cs="Times New Roman"/>
          <w:szCs w:val="24"/>
          <w:lang w:val="fr-FR"/>
        </w:rPr>
        <w:t xml:space="preserve">de </w:t>
      </w:r>
      <w:r w:rsidRPr="00960999">
        <w:rPr>
          <w:rFonts w:cs="Times New Roman"/>
          <w:szCs w:val="24"/>
          <w:lang w:val="fr-FR"/>
        </w:rPr>
        <w:t xml:space="preserve">l’offre du DMPA-SC au niveau du privé car il administre déjà des vaccins comme l’antitétanique et disposent d’un niveau d’instruction supérieur aux relais communautaires car ayant suivi un cycle (six mois en général) de formation au niveau des écoles de santé. </w:t>
      </w:r>
    </w:p>
    <w:p w:rsidR="00B4464C" w:rsidRPr="00960999" w:rsidRDefault="00B4464C" w:rsidP="00960999">
      <w:pPr>
        <w:pStyle w:val="ListParagraph"/>
        <w:spacing w:after="120" w:line="240" w:lineRule="auto"/>
        <w:ind w:left="357"/>
        <w:jc w:val="both"/>
        <w:rPr>
          <w:rFonts w:cs="Times New Roman"/>
          <w:sz w:val="16"/>
          <w:szCs w:val="24"/>
          <w:lang w:val="fr-FR"/>
        </w:rPr>
      </w:pPr>
    </w:p>
    <w:p w:rsidR="00B4464C" w:rsidRPr="003C5B1A" w:rsidRDefault="00B4464C" w:rsidP="00361443">
      <w:pPr>
        <w:pStyle w:val="ListParagraph"/>
        <w:numPr>
          <w:ilvl w:val="0"/>
          <w:numId w:val="8"/>
        </w:numPr>
        <w:spacing w:after="120" w:line="240" w:lineRule="auto"/>
        <w:ind w:left="357" w:hanging="357"/>
        <w:jc w:val="both"/>
        <w:rPr>
          <w:rFonts w:cs="Times New Roman"/>
          <w:b/>
          <w:color w:val="44546A" w:themeColor="text2"/>
          <w:szCs w:val="24"/>
          <w:lang w:val="fr-FR"/>
        </w:rPr>
      </w:pPr>
      <w:r w:rsidRPr="003C5B1A">
        <w:rPr>
          <w:rFonts w:cs="Times New Roman"/>
          <w:b/>
          <w:color w:val="44546A" w:themeColor="text2"/>
          <w:szCs w:val="24"/>
          <w:lang w:val="fr-FR"/>
        </w:rPr>
        <w:t xml:space="preserve">Statistiques DMPA-SC et DMPA-IM </w:t>
      </w:r>
    </w:p>
    <w:p w:rsidR="00B4464C" w:rsidRPr="00960999" w:rsidRDefault="00B4464C" w:rsidP="009850DF">
      <w:pPr>
        <w:jc w:val="both"/>
        <w:rPr>
          <w:rFonts w:cs="Times New Roman"/>
          <w:szCs w:val="24"/>
          <w:lang w:val="fr-FR"/>
        </w:rPr>
      </w:pPr>
      <w:r w:rsidRPr="00960999">
        <w:rPr>
          <w:rFonts w:cs="Times New Roman"/>
          <w:szCs w:val="24"/>
          <w:lang w:val="fr-FR"/>
        </w:rPr>
        <w:t xml:space="preserve">L’ancien système de </w:t>
      </w:r>
      <w:proofErr w:type="spellStart"/>
      <w:r w:rsidRPr="00960999">
        <w:rPr>
          <w:rFonts w:cs="Times New Roman"/>
          <w:szCs w:val="24"/>
          <w:lang w:val="fr-FR"/>
        </w:rPr>
        <w:t>reporting</w:t>
      </w:r>
      <w:proofErr w:type="spellEnd"/>
      <w:r w:rsidRPr="00960999">
        <w:rPr>
          <w:rFonts w:cs="Times New Roman"/>
          <w:szCs w:val="24"/>
          <w:lang w:val="fr-FR"/>
        </w:rPr>
        <w:t xml:space="preserve"> national (SNIS) ne désagrégeait pas les données (jusqu’en 2016) relatives aux injectables. Mais, avec le DHIS les données sont désagrégées. </w:t>
      </w:r>
    </w:p>
    <w:p w:rsidR="008F77A0" w:rsidRPr="0079228E" w:rsidRDefault="008F77A0" w:rsidP="00D06818">
      <w:pPr>
        <w:jc w:val="both"/>
        <w:rPr>
          <w:rFonts w:eastAsiaTheme="minorHAnsi"/>
          <w:b/>
          <w:color w:val="44546A" w:themeColor="text2"/>
          <w:lang w:val="fr-FR"/>
        </w:rPr>
      </w:pPr>
      <w:r w:rsidRPr="0079228E">
        <w:rPr>
          <w:rFonts w:eastAsiaTheme="minorHAnsi"/>
          <w:b/>
          <w:color w:val="44546A" w:themeColor="text2"/>
          <w:lang w:val="fr-FR"/>
        </w:rPr>
        <w:t>Tableau </w:t>
      </w:r>
      <w:r w:rsidR="008633DA" w:rsidRPr="0079228E">
        <w:rPr>
          <w:rFonts w:eastAsiaTheme="minorHAnsi"/>
          <w:b/>
          <w:color w:val="44546A" w:themeColor="text2"/>
          <w:lang w:val="fr-FR"/>
        </w:rPr>
        <w:t>1 :</w:t>
      </w:r>
      <w:r w:rsidRPr="0079228E">
        <w:rPr>
          <w:rFonts w:eastAsiaTheme="minorHAnsi"/>
          <w:b/>
          <w:color w:val="44546A" w:themeColor="text2"/>
          <w:lang w:val="fr-FR"/>
        </w:rPr>
        <w:t xml:space="preserve"> </w:t>
      </w:r>
      <w:r w:rsidRPr="003C5B1A">
        <w:rPr>
          <w:rFonts w:eastAsiaTheme="minorHAnsi"/>
          <w:color w:val="44546A" w:themeColor="text2"/>
          <w:lang w:val="fr-FR"/>
        </w:rPr>
        <w:t>Quelques Statistiques sur l’offre du DMPA-SC et DMPA-IM</w:t>
      </w:r>
      <w:r w:rsidRPr="0079228E">
        <w:rPr>
          <w:rFonts w:eastAsiaTheme="minorHAnsi"/>
          <w:b/>
          <w:color w:val="44546A" w:themeColor="text2"/>
          <w:lang w:val="fr-FR"/>
        </w:rPr>
        <w:t xml:space="preserve"> </w:t>
      </w:r>
    </w:p>
    <w:tbl>
      <w:tblPr>
        <w:tblStyle w:val="TableGrid"/>
        <w:tblW w:w="0" w:type="auto"/>
        <w:tblLook w:val="04A0" w:firstRow="1" w:lastRow="0" w:firstColumn="1" w:lastColumn="0" w:noHBand="0" w:noVBand="1"/>
      </w:tblPr>
      <w:tblGrid>
        <w:gridCol w:w="4106"/>
        <w:gridCol w:w="3719"/>
        <w:gridCol w:w="2045"/>
      </w:tblGrid>
      <w:tr w:rsidR="00B4464C" w:rsidRPr="00960999" w:rsidTr="00960999">
        <w:tc>
          <w:tcPr>
            <w:tcW w:w="4106" w:type="dxa"/>
            <w:shd w:val="clear" w:color="auto" w:fill="BFBFBF" w:themeFill="background1" w:themeFillShade="BF"/>
            <w:vAlign w:val="center"/>
          </w:tcPr>
          <w:p w:rsidR="00B4464C" w:rsidRPr="00960999" w:rsidRDefault="00B4464C" w:rsidP="00960999">
            <w:pPr>
              <w:widowControl/>
              <w:autoSpaceDE/>
              <w:autoSpaceDN/>
              <w:spacing w:line="259" w:lineRule="auto"/>
              <w:rPr>
                <w:rFonts w:cs="Times New Roman"/>
                <w:b/>
                <w:sz w:val="20"/>
                <w:lang w:val="fr-FR"/>
              </w:rPr>
            </w:pPr>
          </w:p>
        </w:tc>
        <w:tc>
          <w:tcPr>
            <w:tcW w:w="3719" w:type="dxa"/>
            <w:shd w:val="clear" w:color="auto" w:fill="BFBFBF" w:themeFill="background1" w:themeFillShade="BF"/>
            <w:vAlign w:val="center"/>
          </w:tcPr>
          <w:p w:rsidR="00B4464C" w:rsidRPr="00960999" w:rsidRDefault="00A62D05" w:rsidP="00960999">
            <w:pPr>
              <w:widowControl/>
              <w:autoSpaceDE/>
              <w:autoSpaceDN/>
              <w:spacing w:line="259" w:lineRule="auto"/>
              <w:rPr>
                <w:rFonts w:cs="Times New Roman"/>
                <w:b/>
                <w:sz w:val="20"/>
                <w:lang w:val="fr-FR"/>
              </w:rPr>
            </w:pPr>
            <w:r w:rsidRPr="00960999">
              <w:rPr>
                <w:rFonts w:cs="Times New Roman"/>
                <w:b/>
                <w:sz w:val="20"/>
                <w:lang w:val="fr-FR"/>
              </w:rPr>
              <w:t>Statistiques</w:t>
            </w:r>
          </w:p>
        </w:tc>
        <w:tc>
          <w:tcPr>
            <w:tcW w:w="2045" w:type="dxa"/>
            <w:shd w:val="clear" w:color="auto" w:fill="BFBFBF" w:themeFill="background1" w:themeFillShade="BF"/>
            <w:vAlign w:val="center"/>
          </w:tcPr>
          <w:p w:rsidR="00B4464C" w:rsidRPr="00960999" w:rsidRDefault="00B4464C" w:rsidP="00960999">
            <w:pPr>
              <w:widowControl/>
              <w:autoSpaceDE/>
              <w:autoSpaceDN/>
              <w:spacing w:line="259" w:lineRule="auto"/>
              <w:rPr>
                <w:rFonts w:cs="Times New Roman"/>
                <w:b/>
                <w:sz w:val="20"/>
                <w:lang w:val="fr-FR"/>
              </w:rPr>
            </w:pPr>
            <w:r w:rsidRPr="00960999">
              <w:rPr>
                <w:rFonts w:cs="Times New Roman"/>
                <w:b/>
                <w:sz w:val="20"/>
                <w:lang w:val="fr-FR"/>
              </w:rPr>
              <w:t>Source des données</w:t>
            </w:r>
          </w:p>
        </w:tc>
      </w:tr>
      <w:tr w:rsidR="00B4464C" w:rsidRPr="00960999" w:rsidTr="00960999">
        <w:tc>
          <w:tcPr>
            <w:tcW w:w="4106" w:type="dxa"/>
            <w:vAlign w:val="center"/>
          </w:tcPr>
          <w:p w:rsidR="00B4464C" w:rsidRPr="00960999" w:rsidRDefault="00B4464C" w:rsidP="00D06818">
            <w:pPr>
              <w:spacing w:after="160" w:line="259" w:lineRule="auto"/>
              <w:rPr>
                <w:rFonts w:cs="Times New Roman"/>
                <w:sz w:val="18"/>
                <w:lang w:val="fr-FR"/>
              </w:rPr>
            </w:pPr>
            <w:r w:rsidRPr="00960999">
              <w:rPr>
                <w:rFonts w:cs="Times New Roman"/>
                <w:sz w:val="18"/>
                <w:lang w:val="fr-FR"/>
              </w:rPr>
              <w:t>Nombre et pourcentage de formations sanitaires publiques qui rapportent l’offre du DMPA-SC</w:t>
            </w:r>
          </w:p>
        </w:tc>
        <w:tc>
          <w:tcPr>
            <w:tcW w:w="3719" w:type="dxa"/>
            <w:vAlign w:val="center"/>
          </w:tcPr>
          <w:p w:rsidR="00B4464C" w:rsidRPr="00960999" w:rsidRDefault="00A62D05" w:rsidP="00D06818">
            <w:pPr>
              <w:widowControl/>
              <w:autoSpaceDE/>
              <w:autoSpaceDN/>
              <w:spacing w:after="160" w:line="259" w:lineRule="auto"/>
              <w:rPr>
                <w:rFonts w:cs="Times New Roman"/>
                <w:b/>
                <w:sz w:val="18"/>
                <w:szCs w:val="18"/>
                <w:lang w:val="fr-FR"/>
              </w:rPr>
            </w:pPr>
            <w:r w:rsidRPr="00960999">
              <w:rPr>
                <w:rFonts w:cs="Times New Roman"/>
                <w:b/>
                <w:sz w:val="18"/>
                <w:szCs w:val="18"/>
                <w:lang w:val="fr-FR"/>
              </w:rPr>
              <w:t>2304</w:t>
            </w:r>
          </w:p>
        </w:tc>
        <w:tc>
          <w:tcPr>
            <w:tcW w:w="2045" w:type="dxa"/>
            <w:vAlign w:val="center"/>
          </w:tcPr>
          <w:p w:rsidR="00B4464C" w:rsidRPr="00960999" w:rsidRDefault="00B4464C" w:rsidP="00D06818">
            <w:pPr>
              <w:widowControl/>
              <w:autoSpaceDE/>
              <w:autoSpaceDN/>
              <w:spacing w:after="160" w:line="259" w:lineRule="auto"/>
              <w:rPr>
                <w:rFonts w:cs="Times New Roman"/>
                <w:b/>
                <w:sz w:val="18"/>
                <w:szCs w:val="18"/>
                <w:lang w:val="fr-FR"/>
              </w:rPr>
            </w:pPr>
          </w:p>
        </w:tc>
      </w:tr>
      <w:tr w:rsidR="00B4464C" w:rsidRPr="00960999" w:rsidTr="00960999">
        <w:tc>
          <w:tcPr>
            <w:tcW w:w="4106" w:type="dxa"/>
            <w:vAlign w:val="center"/>
          </w:tcPr>
          <w:p w:rsidR="00B4464C" w:rsidRPr="00960999" w:rsidRDefault="00B4464C" w:rsidP="00D06818">
            <w:pPr>
              <w:spacing w:after="160" w:line="259" w:lineRule="auto"/>
              <w:rPr>
                <w:rFonts w:cs="Times New Roman"/>
                <w:sz w:val="18"/>
                <w:szCs w:val="18"/>
                <w:lang w:val="fr-FR"/>
              </w:rPr>
            </w:pPr>
            <w:r w:rsidRPr="00960999">
              <w:rPr>
                <w:rFonts w:cs="Times New Roman"/>
                <w:sz w:val="18"/>
                <w:szCs w:val="18"/>
                <w:lang w:val="fr-FR"/>
              </w:rPr>
              <w:t xml:space="preserve">Nombre et pourcentage de formations sanitaires </w:t>
            </w:r>
            <w:r w:rsidRPr="00960999">
              <w:rPr>
                <w:rFonts w:cs="Times New Roman"/>
                <w:sz w:val="18"/>
                <w:szCs w:val="18"/>
                <w:lang w:val="fr-FR"/>
              </w:rPr>
              <w:lastRenderedPageBreak/>
              <w:t>privées qui offrent le DMPA-SC</w:t>
            </w:r>
          </w:p>
        </w:tc>
        <w:tc>
          <w:tcPr>
            <w:tcW w:w="3719" w:type="dxa"/>
            <w:vAlign w:val="center"/>
          </w:tcPr>
          <w:p w:rsidR="00B4464C" w:rsidRPr="00960999" w:rsidRDefault="00A62D05" w:rsidP="00D06818">
            <w:pPr>
              <w:widowControl/>
              <w:autoSpaceDE/>
              <w:autoSpaceDN/>
              <w:spacing w:after="160" w:line="259" w:lineRule="auto"/>
              <w:rPr>
                <w:rFonts w:cs="Times New Roman"/>
                <w:sz w:val="18"/>
                <w:szCs w:val="18"/>
                <w:lang w:val="fr-FR"/>
              </w:rPr>
            </w:pPr>
            <w:r w:rsidRPr="00960999">
              <w:rPr>
                <w:rFonts w:cs="Times New Roman"/>
                <w:sz w:val="18"/>
                <w:szCs w:val="18"/>
                <w:lang w:val="fr-FR"/>
              </w:rPr>
              <w:lastRenderedPageBreak/>
              <w:t>59</w:t>
            </w:r>
            <w:r w:rsidR="00B4464C" w:rsidRPr="00960999">
              <w:rPr>
                <w:rFonts w:cs="Times New Roman"/>
                <w:sz w:val="18"/>
                <w:szCs w:val="18"/>
                <w:lang w:val="fr-FR"/>
              </w:rPr>
              <w:t xml:space="preserve"> à Niamey uniquement  </w:t>
            </w:r>
          </w:p>
        </w:tc>
        <w:tc>
          <w:tcPr>
            <w:tcW w:w="2045" w:type="dxa"/>
            <w:vAlign w:val="center"/>
          </w:tcPr>
          <w:p w:rsidR="00B4464C" w:rsidRPr="00960999" w:rsidRDefault="00B4464C" w:rsidP="00D06818">
            <w:pPr>
              <w:widowControl/>
              <w:autoSpaceDE/>
              <w:autoSpaceDN/>
              <w:spacing w:after="160" w:line="259" w:lineRule="auto"/>
              <w:rPr>
                <w:rFonts w:cs="Times New Roman"/>
                <w:sz w:val="18"/>
                <w:szCs w:val="18"/>
                <w:lang w:val="fr-FR"/>
              </w:rPr>
            </w:pPr>
            <w:r w:rsidRPr="00960999">
              <w:rPr>
                <w:rFonts w:cs="Times New Roman"/>
                <w:sz w:val="18"/>
                <w:szCs w:val="18"/>
                <w:lang w:val="fr-FR"/>
              </w:rPr>
              <w:t xml:space="preserve">Animas </w:t>
            </w:r>
            <w:r w:rsidR="00960999" w:rsidRPr="00960999">
              <w:rPr>
                <w:rFonts w:cs="Times New Roman"/>
                <w:sz w:val="18"/>
                <w:szCs w:val="18"/>
                <w:lang w:val="fr-FR"/>
              </w:rPr>
              <w:t>Suturas</w:t>
            </w:r>
          </w:p>
        </w:tc>
      </w:tr>
      <w:tr w:rsidR="00B4464C" w:rsidRPr="00960999" w:rsidTr="00960999">
        <w:trPr>
          <w:trHeight w:val="386"/>
        </w:trPr>
        <w:tc>
          <w:tcPr>
            <w:tcW w:w="4106" w:type="dxa"/>
            <w:vAlign w:val="center"/>
          </w:tcPr>
          <w:p w:rsidR="00B4464C" w:rsidRPr="00960999" w:rsidRDefault="00B4464C" w:rsidP="00D06818">
            <w:pPr>
              <w:spacing w:line="259" w:lineRule="auto"/>
              <w:rPr>
                <w:rFonts w:cs="Times New Roman"/>
                <w:sz w:val="18"/>
                <w:szCs w:val="18"/>
                <w:lang w:val="fr-FR"/>
              </w:rPr>
            </w:pPr>
            <w:r w:rsidRPr="00960999">
              <w:rPr>
                <w:rFonts w:cs="Times New Roman"/>
                <w:sz w:val="18"/>
                <w:szCs w:val="18"/>
                <w:lang w:val="fr-FR"/>
              </w:rPr>
              <w:lastRenderedPageBreak/>
              <w:t>Nombre d’officines privées qui vendent le DMPA-</w:t>
            </w:r>
            <w:r w:rsidR="008F77A0" w:rsidRPr="00960999">
              <w:rPr>
                <w:rFonts w:cs="Times New Roman"/>
                <w:sz w:val="18"/>
                <w:szCs w:val="18"/>
                <w:lang w:val="fr-FR"/>
              </w:rPr>
              <w:t>SC</w:t>
            </w:r>
          </w:p>
        </w:tc>
        <w:tc>
          <w:tcPr>
            <w:tcW w:w="3719" w:type="dxa"/>
            <w:vAlign w:val="center"/>
          </w:tcPr>
          <w:p w:rsidR="00B4464C" w:rsidRPr="00960999" w:rsidRDefault="00FF19BF" w:rsidP="00D06818">
            <w:pPr>
              <w:widowControl/>
              <w:autoSpaceDE/>
              <w:autoSpaceDN/>
              <w:spacing w:line="259" w:lineRule="auto"/>
              <w:rPr>
                <w:rFonts w:cs="Times New Roman"/>
                <w:sz w:val="18"/>
                <w:szCs w:val="18"/>
                <w:lang w:val="fr-FR"/>
              </w:rPr>
            </w:pPr>
            <w:r w:rsidRPr="00960999">
              <w:rPr>
                <w:rFonts w:cs="Times New Roman"/>
                <w:sz w:val="18"/>
                <w:szCs w:val="18"/>
                <w:lang w:val="fr-FR"/>
              </w:rPr>
              <w:t>93</w:t>
            </w:r>
            <w:r w:rsidR="00B4464C" w:rsidRPr="00960999">
              <w:rPr>
                <w:rFonts w:cs="Times New Roman"/>
                <w:sz w:val="18"/>
                <w:szCs w:val="18"/>
                <w:lang w:val="fr-FR"/>
              </w:rPr>
              <w:t xml:space="preserve"> à Niamey uniquement </w:t>
            </w:r>
          </w:p>
        </w:tc>
        <w:tc>
          <w:tcPr>
            <w:tcW w:w="2045" w:type="dxa"/>
            <w:vAlign w:val="center"/>
          </w:tcPr>
          <w:p w:rsidR="00B4464C" w:rsidRPr="00960999" w:rsidRDefault="00960999" w:rsidP="00D06818">
            <w:pPr>
              <w:widowControl/>
              <w:autoSpaceDE/>
              <w:autoSpaceDN/>
              <w:spacing w:line="259" w:lineRule="auto"/>
              <w:rPr>
                <w:rFonts w:cs="Times New Roman"/>
                <w:sz w:val="18"/>
                <w:szCs w:val="18"/>
                <w:lang w:val="fr-FR"/>
              </w:rPr>
            </w:pPr>
            <w:r w:rsidRPr="00960999">
              <w:rPr>
                <w:rFonts w:cs="Times New Roman"/>
                <w:sz w:val="18"/>
                <w:szCs w:val="18"/>
                <w:lang w:val="fr-FR"/>
              </w:rPr>
              <w:t>Animas Suturas</w:t>
            </w:r>
          </w:p>
        </w:tc>
      </w:tr>
      <w:tr w:rsidR="00B4464C" w:rsidRPr="00960999" w:rsidTr="00960999">
        <w:tc>
          <w:tcPr>
            <w:tcW w:w="4106" w:type="dxa"/>
            <w:vAlign w:val="center"/>
          </w:tcPr>
          <w:p w:rsidR="00960999" w:rsidRDefault="00B4464C" w:rsidP="00960999">
            <w:pPr>
              <w:widowControl/>
              <w:autoSpaceDE/>
              <w:autoSpaceDN/>
              <w:spacing w:line="259" w:lineRule="auto"/>
              <w:rPr>
                <w:rFonts w:cs="Times New Roman"/>
                <w:sz w:val="18"/>
                <w:szCs w:val="18"/>
                <w:lang w:val="fr-FR"/>
              </w:rPr>
            </w:pPr>
            <w:r w:rsidRPr="00960999">
              <w:rPr>
                <w:rFonts w:cs="Times New Roman"/>
                <w:sz w:val="18"/>
                <w:szCs w:val="18"/>
                <w:lang w:val="fr-FR"/>
              </w:rPr>
              <w:t xml:space="preserve">Statistiques DMPA-SC et DMPA-IM </w:t>
            </w:r>
          </w:p>
          <w:p w:rsidR="00B4464C" w:rsidRPr="00960999" w:rsidRDefault="00B4464C" w:rsidP="00960999">
            <w:pPr>
              <w:widowControl/>
              <w:autoSpaceDE/>
              <w:autoSpaceDN/>
              <w:spacing w:line="259" w:lineRule="auto"/>
              <w:rPr>
                <w:rFonts w:cs="Times New Roman"/>
                <w:sz w:val="18"/>
                <w:szCs w:val="18"/>
                <w:lang w:val="fr-FR"/>
              </w:rPr>
            </w:pPr>
            <w:r w:rsidRPr="00960999">
              <w:rPr>
                <w:rFonts w:cs="Times New Roman"/>
                <w:sz w:val="18"/>
                <w:szCs w:val="18"/>
                <w:lang w:val="fr-FR"/>
              </w:rPr>
              <w:t>(DMPA-SC/DMPA-IM)</w:t>
            </w:r>
          </w:p>
        </w:tc>
        <w:tc>
          <w:tcPr>
            <w:tcW w:w="3719" w:type="dxa"/>
            <w:vAlign w:val="center"/>
          </w:tcPr>
          <w:p w:rsidR="00960999" w:rsidRPr="00960999" w:rsidRDefault="00960999" w:rsidP="00361443">
            <w:pPr>
              <w:pStyle w:val="ListParagraph"/>
              <w:numPr>
                <w:ilvl w:val="0"/>
                <w:numId w:val="3"/>
              </w:numPr>
              <w:spacing w:after="160" w:line="259" w:lineRule="auto"/>
              <w:ind w:left="175" w:hanging="175"/>
              <w:rPr>
                <w:rFonts w:cs="Times New Roman"/>
                <w:sz w:val="18"/>
                <w:szCs w:val="18"/>
                <w:lang w:val="fr-FR"/>
              </w:rPr>
            </w:pPr>
            <w:r w:rsidRPr="00960999">
              <w:rPr>
                <w:rFonts w:cs="Times New Roman"/>
                <w:sz w:val="18"/>
                <w:szCs w:val="18"/>
                <w:lang w:val="fr-FR"/>
              </w:rPr>
              <w:t xml:space="preserve">En 2018 : </w:t>
            </w:r>
            <w:r w:rsidR="00A62D05" w:rsidRPr="00960999">
              <w:rPr>
                <w:rFonts w:cs="Times New Roman"/>
                <w:sz w:val="18"/>
                <w:szCs w:val="18"/>
                <w:lang w:val="fr-FR"/>
              </w:rPr>
              <w:t>150.260 DMPA-SC et 811.513 DMPA-IM.</w:t>
            </w:r>
            <w:r w:rsidR="00B4464C" w:rsidRPr="00960999">
              <w:rPr>
                <w:rFonts w:cs="Times New Roman"/>
                <w:sz w:val="18"/>
                <w:szCs w:val="18"/>
                <w:lang w:val="fr-FR"/>
              </w:rPr>
              <w:t xml:space="preserve"> Le tau</w:t>
            </w:r>
            <w:r w:rsidR="00FF19BF" w:rsidRPr="00960999">
              <w:rPr>
                <w:rFonts w:cs="Times New Roman"/>
                <w:sz w:val="18"/>
                <w:szCs w:val="18"/>
                <w:lang w:val="fr-FR"/>
              </w:rPr>
              <w:t>x de rapportage est de l’ordre de</w:t>
            </w:r>
            <w:r w:rsidR="00B4464C" w:rsidRPr="00960999">
              <w:rPr>
                <w:rFonts w:cs="Times New Roman"/>
                <w:sz w:val="18"/>
                <w:szCs w:val="18"/>
                <w:lang w:val="fr-FR"/>
              </w:rPr>
              <w:t xml:space="preserve"> 91,8%</w:t>
            </w:r>
          </w:p>
          <w:p w:rsidR="00B4464C" w:rsidRPr="00960999" w:rsidRDefault="00A62D05" w:rsidP="00361443">
            <w:pPr>
              <w:pStyle w:val="ListParagraph"/>
              <w:numPr>
                <w:ilvl w:val="0"/>
                <w:numId w:val="3"/>
              </w:numPr>
              <w:spacing w:after="160" w:line="259" w:lineRule="auto"/>
              <w:ind w:left="175" w:hanging="175"/>
              <w:rPr>
                <w:rFonts w:cs="Times New Roman"/>
                <w:sz w:val="18"/>
                <w:szCs w:val="18"/>
                <w:lang w:val="fr-FR"/>
              </w:rPr>
            </w:pPr>
            <w:r w:rsidRPr="00960999">
              <w:rPr>
                <w:rFonts w:cs="Times New Roman"/>
                <w:sz w:val="18"/>
                <w:szCs w:val="18"/>
                <w:lang w:val="fr-FR"/>
              </w:rPr>
              <w:t xml:space="preserve">A la date du 30 Juin 2019, il a été enregistré </w:t>
            </w:r>
            <w:r w:rsidR="00B4464C" w:rsidRPr="00960999">
              <w:rPr>
                <w:rFonts w:cs="Times New Roman"/>
                <w:sz w:val="18"/>
                <w:szCs w:val="18"/>
                <w:lang w:val="fr-FR"/>
              </w:rPr>
              <w:t>95.969</w:t>
            </w:r>
            <w:r w:rsidRPr="00960999">
              <w:rPr>
                <w:rFonts w:cs="Times New Roman"/>
                <w:sz w:val="18"/>
                <w:szCs w:val="18"/>
                <w:lang w:val="fr-FR"/>
              </w:rPr>
              <w:t xml:space="preserve"> DMPA-SC et 367.219 DMPA-IM. </w:t>
            </w:r>
            <w:r w:rsidR="008F77A0" w:rsidRPr="00960999">
              <w:rPr>
                <w:rFonts w:cs="Times New Roman"/>
                <w:sz w:val="18"/>
                <w:szCs w:val="18"/>
                <w:lang w:val="fr-FR"/>
              </w:rPr>
              <w:t>Le</w:t>
            </w:r>
            <w:r w:rsidR="00B4464C" w:rsidRPr="00960999">
              <w:rPr>
                <w:rFonts w:cs="Times New Roman"/>
                <w:sz w:val="18"/>
                <w:szCs w:val="18"/>
                <w:lang w:val="fr-FR"/>
              </w:rPr>
              <w:t xml:space="preserve"> tau</w:t>
            </w:r>
            <w:r w:rsidRPr="00960999">
              <w:rPr>
                <w:rFonts w:cs="Times New Roman"/>
                <w:sz w:val="18"/>
                <w:szCs w:val="18"/>
                <w:lang w:val="fr-FR"/>
              </w:rPr>
              <w:t xml:space="preserve">x de rapportage est d’environ </w:t>
            </w:r>
            <w:r w:rsidR="00B4464C" w:rsidRPr="00960999">
              <w:rPr>
                <w:rFonts w:cs="Times New Roman"/>
                <w:sz w:val="18"/>
                <w:szCs w:val="18"/>
                <w:lang w:val="fr-FR"/>
              </w:rPr>
              <w:t xml:space="preserve">48%. </w:t>
            </w:r>
          </w:p>
        </w:tc>
        <w:tc>
          <w:tcPr>
            <w:tcW w:w="2045" w:type="dxa"/>
            <w:vAlign w:val="center"/>
          </w:tcPr>
          <w:p w:rsidR="00B4464C" w:rsidRPr="00960999" w:rsidRDefault="00B4464C" w:rsidP="00D06818">
            <w:pPr>
              <w:widowControl/>
              <w:autoSpaceDE/>
              <w:autoSpaceDN/>
              <w:spacing w:after="160" w:line="259" w:lineRule="auto"/>
              <w:rPr>
                <w:rFonts w:cs="Times New Roman"/>
                <w:sz w:val="18"/>
                <w:szCs w:val="18"/>
                <w:lang w:val="fr-FR"/>
              </w:rPr>
            </w:pPr>
            <w:r w:rsidRPr="00960999">
              <w:rPr>
                <w:rFonts w:cs="Times New Roman"/>
                <w:sz w:val="18"/>
                <w:szCs w:val="18"/>
                <w:lang w:val="fr-FR"/>
              </w:rPr>
              <w:t xml:space="preserve">Rapport de statistiques sanitaires </w:t>
            </w:r>
          </w:p>
        </w:tc>
      </w:tr>
    </w:tbl>
    <w:p w:rsidR="00B4464C" w:rsidRDefault="00B4464C" w:rsidP="009850DF">
      <w:pPr>
        <w:jc w:val="both"/>
        <w:rPr>
          <w:rFonts w:cs="Times New Roman"/>
          <w:sz w:val="6"/>
          <w:szCs w:val="24"/>
          <w:lang w:val="fr-FR"/>
        </w:rPr>
      </w:pPr>
    </w:p>
    <w:p w:rsidR="0079228E" w:rsidRPr="00A5720B" w:rsidRDefault="0079228E" w:rsidP="009850DF">
      <w:pPr>
        <w:jc w:val="both"/>
        <w:rPr>
          <w:rFonts w:cs="Times New Roman"/>
          <w:sz w:val="6"/>
          <w:szCs w:val="24"/>
          <w:lang w:val="fr-FR"/>
        </w:rPr>
      </w:pPr>
    </w:p>
    <w:p w:rsidR="00B4464C" w:rsidRPr="00177290" w:rsidRDefault="00B4464C" w:rsidP="00177290">
      <w:pPr>
        <w:pStyle w:val="Style5"/>
        <w:ind w:left="0" w:firstLine="0"/>
      </w:pPr>
      <w:bookmarkStart w:id="140" w:name="_Toc19203082"/>
      <w:r w:rsidRPr="00C77A4E">
        <w:t>Suivi</w:t>
      </w:r>
      <w:r w:rsidRPr="00177290">
        <w:t xml:space="preserve"> et évaluation du plan d’introduction/mise à échelle</w:t>
      </w:r>
      <w:bookmarkEnd w:id="140"/>
      <w:r w:rsidRPr="00177290">
        <w:t xml:space="preserve"> </w:t>
      </w:r>
    </w:p>
    <w:p w:rsidR="0079228E" w:rsidRPr="0079228E" w:rsidRDefault="0079228E" w:rsidP="004F1209">
      <w:pPr>
        <w:spacing w:after="0"/>
        <w:jc w:val="both"/>
        <w:rPr>
          <w:rFonts w:cs="Times New Roman"/>
          <w:sz w:val="12"/>
          <w:szCs w:val="24"/>
          <w:lang w:val="fr-FR"/>
        </w:rPr>
      </w:pPr>
    </w:p>
    <w:p w:rsidR="00B4464C" w:rsidRPr="00960999" w:rsidRDefault="00B4464C" w:rsidP="004F1209">
      <w:pPr>
        <w:spacing w:after="0"/>
        <w:jc w:val="both"/>
        <w:rPr>
          <w:rFonts w:cs="Times New Roman"/>
          <w:szCs w:val="24"/>
          <w:lang w:val="fr-FR"/>
        </w:rPr>
      </w:pPr>
      <w:r w:rsidRPr="00960999">
        <w:rPr>
          <w:rFonts w:cs="Times New Roman"/>
          <w:szCs w:val="24"/>
          <w:lang w:val="fr-FR"/>
        </w:rPr>
        <w:t xml:space="preserve">Le suivi de la mise en œuvre du plan de PAGE a été soutenu par les outils classiques de collecte de données utilisés au niveau des services sanitaires. Il s’agit des registres de consultations, des fiches de rapports </w:t>
      </w:r>
      <w:r w:rsidR="009850DF" w:rsidRPr="00960999">
        <w:rPr>
          <w:rFonts w:cs="Times New Roman"/>
          <w:szCs w:val="24"/>
          <w:lang w:val="fr-FR"/>
        </w:rPr>
        <w:t>mensuels, les</w:t>
      </w:r>
      <w:r w:rsidRPr="00960999">
        <w:rPr>
          <w:rFonts w:cs="Times New Roman"/>
          <w:szCs w:val="24"/>
          <w:lang w:val="fr-FR"/>
        </w:rPr>
        <w:t xml:space="preserve"> cahiers de données sur les causeries et counselings et le DHIS2. Par ailleurs, des instances de coordination et de suivi comme le comité SPSR et le comité technique de suivi du plan PF ont été d’une importance capitale. </w:t>
      </w:r>
    </w:p>
    <w:p w:rsidR="004F1209" w:rsidRPr="00960999" w:rsidRDefault="004F1209" w:rsidP="004F1209">
      <w:pPr>
        <w:spacing w:after="0"/>
        <w:jc w:val="both"/>
        <w:rPr>
          <w:rFonts w:cs="Times New Roman"/>
          <w:sz w:val="12"/>
          <w:szCs w:val="24"/>
          <w:lang w:val="fr-FR"/>
        </w:rPr>
      </w:pPr>
    </w:p>
    <w:p w:rsidR="003A1A52" w:rsidRPr="00960999" w:rsidRDefault="00B4464C" w:rsidP="004F1209">
      <w:pPr>
        <w:spacing w:after="0"/>
        <w:jc w:val="both"/>
        <w:rPr>
          <w:rFonts w:cs="Times New Roman"/>
          <w:szCs w:val="24"/>
          <w:lang w:val="fr-FR"/>
        </w:rPr>
      </w:pPr>
      <w:r w:rsidRPr="00960999">
        <w:rPr>
          <w:rFonts w:cs="Times New Roman"/>
          <w:szCs w:val="24"/>
          <w:lang w:val="fr-FR"/>
        </w:rPr>
        <w:t xml:space="preserve">Le DMPA-SC est intégré de façon effective dans toutes les activités, particulièrement au niveau des cases de santé : registres de consultations, des fiches de rapports </w:t>
      </w:r>
      <w:r w:rsidR="009850DF" w:rsidRPr="00960999">
        <w:rPr>
          <w:rFonts w:cs="Times New Roman"/>
          <w:szCs w:val="24"/>
          <w:lang w:val="fr-FR"/>
        </w:rPr>
        <w:t>mensuels, les</w:t>
      </w:r>
      <w:r w:rsidRPr="00960999">
        <w:rPr>
          <w:rFonts w:cs="Times New Roman"/>
          <w:szCs w:val="24"/>
          <w:lang w:val="fr-FR"/>
        </w:rPr>
        <w:t xml:space="preserve"> cahiers de données sur les causeries et counselings, le manuel de formation du prestataire en PF, les normes et directives et il est également pris en compte par le DHIS. </w:t>
      </w:r>
    </w:p>
    <w:p w:rsidR="004F1209" w:rsidRPr="00960999" w:rsidRDefault="004F1209" w:rsidP="00D06818">
      <w:pPr>
        <w:spacing w:after="0"/>
        <w:jc w:val="both"/>
        <w:rPr>
          <w:rFonts w:cs="Times New Roman"/>
          <w:sz w:val="14"/>
          <w:szCs w:val="24"/>
          <w:lang w:val="fr-FR"/>
        </w:rPr>
      </w:pPr>
    </w:p>
    <w:p w:rsidR="00B4464C" w:rsidRPr="00C77A4E" w:rsidRDefault="00B4464C" w:rsidP="00177290">
      <w:pPr>
        <w:pStyle w:val="Style5"/>
        <w:ind w:left="0" w:firstLine="0"/>
      </w:pPr>
      <w:bookmarkStart w:id="141" w:name="_Toc19203083"/>
      <w:r w:rsidRPr="00C77A4E">
        <w:t>Logistique et approvisionnement en produits</w:t>
      </w:r>
      <w:bookmarkEnd w:id="141"/>
      <w:r w:rsidRPr="00C77A4E">
        <w:t xml:space="preserve"> </w:t>
      </w:r>
    </w:p>
    <w:p w:rsidR="0079228E" w:rsidRPr="0079228E" w:rsidRDefault="0079228E" w:rsidP="00960999">
      <w:pPr>
        <w:pStyle w:val="Style1"/>
        <w:tabs>
          <w:tab w:val="left" w:pos="270"/>
        </w:tabs>
        <w:spacing w:before="0"/>
        <w:rPr>
          <w:rFonts w:asciiTheme="minorHAnsi" w:eastAsiaTheme="minorHAnsi" w:hAnsiTheme="minorHAnsi" w:cstheme="minorBidi"/>
          <w:b/>
          <w:bCs w:val="0"/>
          <w:color w:val="44546A" w:themeColor="text2"/>
          <w:sz w:val="14"/>
          <w:szCs w:val="22"/>
          <w:u w:color="000000"/>
          <w:bdr w:val="nil"/>
          <w:lang w:val="fr-FR"/>
        </w:rPr>
      </w:pPr>
    </w:p>
    <w:p w:rsidR="009A3DF5" w:rsidRPr="00960999" w:rsidRDefault="00B4464C" w:rsidP="006F13E4">
      <w:pPr>
        <w:spacing w:after="0"/>
        <w:jc w:val="both"/>
        <w:rPr>
          <w:rFonts w:cs="Times New Roman"/>
          <w:szCs w:val="24"/>
          <w:lang w:val="fr-FR"/>
        </w:rPr>
      </w:pPr>
      <w:r w:rsidRPr="00960999">
        <w:rPr>
          <w:rFonts w:cs="Times New Roman"/>
          <w:szCs w:val="24"/>
          <w:lang w:val="fr-FR"/>
        </w:rPr>
        <w:t>La</w:t>
      </w:r>
      <w:r w:rsidRPr="00960999">
        <w:rPr>
          <w:rFonts w:cs="Times New Roman"/>
          <w:b/>
          <w:szCs w:val="24"/>
          <w:lang w:val="fr-FR"/>
        </w:rPr>
        <w:t xml:space="preserve"> </w:t>
      </w:r>
      <w:r w:rsidRPr="00960999">
        <w:rPr>
          <w:rFonts w:cs="Times New Roman"/>
          <w:szCs w:val="24"/>
          <w:lang w:val="fr-FR"/>
        </w:rPr>
        <w:t xml:space="preserve">logistique et l’approvisionnement prend en compte le DMPA-SC. Les rapports sont produits périodiquement. Le flux de l’information utilisé est celui du Point de Prestation de Service (CS) vers les centres de santé intégrés (CSI) et des centres de santé intégrés vers les districts sanitaires ; des districts sanitaires vers les régions ; des régions vers les dépôts de zone de l’ONPPC et des dépôts de zone vers le niveau central. Le flux des produits </w:t>
      </w:r>
      <w:r w:rsidR="00330708" w:rsidRPr="00960999">
        <w:rPr>
          <w:rFonts w:cs="Times New Roman"/>
          <w:szCs w:val="24"/>
          <w:lang w:val="fr-FR"/>
        </w:rPr>
        <w:t xml:space="preserve">se fait dans le sens </w:t>
      </w:r>
      <w:r w:rsidRPr="00960999">
        <w:rPr>
          <w:rFonts w:cs="Times New Roman"/>
          <w:szCs w:val="24"/>
          <w:lang w:val="fr-FR"/>
        </w:rPr>
        <w:t xml:space="preserve">contraire, il va du niveau central vers les points de prestations. Par ailleurs, il est important de relever que le DMPA-SC est pris en compte dans la quantification nationale. La dernière relève de Novembre 2018.  </w:t>
      </w:r>
    </w:p>
    <w:tbl>
      <w:tblPr>
        <w:tblStyle w:val="TableGrid"/>
        <w:tblpPr w:leftFromText="180" w:rightFromText="180" w:vertAnchor="text" w:horzAnchor="page" w:tblpX="1231" w:tblpY="293"/>
        <w:tblW w:w="0" w:type="auto"/>
        <w:tblLook w:val="04A0" w:firstRow="1" w:lastRow="0" w:firstColumn="1" w:lastColumn="0" w:noHBand="0" w:noVBand="1"/>
      </w:tblPr>
      <w:tblGrid>
        <w:gridCol w:w="9861"/>
      </w:tblGrid>
      <w:tr w:rsidR="006F13E4" w:rsidRPr="00FC1C39" w:rsidTr="00FA343C">
        <w:trPr>
          <w:trHeight w:val="787"/>
        </w:trPr>
        <w:tc>
          <w:tcPr>
            <w:tcW w:w="9861" w:type="dxa"/>
            <w:tcBorders>
              <w:top w:val="single" w:sz="4" w:space="0" w:color="4472C4"/>
              <w:left w:val="single" w:sz="4" w:space="0" w:color="4472C4"/>
              <w:bottom w:val="single" w:sz="4" w:space="0" w:color="4472C4"/>
              <w:right w:val="single" w:sz="4" w:space="0" w:color="4472C4"/>
            </w:tcBorders>
          </w:tcPr>
          <w:p w:rsidR="006F13E4" w:rsidRPr="00960999" w:rsidRDefault="006F13E4" w:rsidP="00BE5D77">
            <w:pPr>
              <w:jc w:val="both"/>
              <w:rPr>
                <w:rFonts w:cs="Times New Roman"/>
                <w:b/>
                <w:bCs/>
                <w:i/>
                <w:color w:val="4472C4" w:themeColor="accent5"/>
                <w:szCs w:val="24"/>
                <w:lang w:val="fr-FR"/>
              </w:rPr>
            </w:pPr>
            <w:r w:rsidRPr="00960999">
              <w:rPr>
                <w:rFonts w:cs="Times New Roman"/>
                <w:b/>
                <w:bCs/>
                <w:i/>
                <w:color w:val="4472C4" w:themeColor="accent5"/>
                <w:szCs w:val="24"/>
                <w:lang w:val="fr-FR"/>
              </w:rPr>
              <w:t>Encadre 8</w:t>
            </w:r>
            <w:r w:rsidR="003964BA" w:rsidRPr="00960999">
              <w:rPr>
                <w:rFonts w:cs="Times New Roman"/>
                <w:b/>
                <w:bCs/>
                <w:i/>
                <w:color w:val="4472C4" w:themeColor="accent5"/>
                <w:szCs w:val="24"/>
                <w:lang w:val="fr-FR"/>
              </w:rPr>
              <w:t> : La quantification du DMPA-SC de 2015 a au 31 mai 2019</w:t>
            </w:r>
          </w:p>
          <w:p w:rsidR="00540AAA" w:rsidRDefault="006F13E4" w:rsidP="00BE5D77">
            <w:pPr>
              <w:jc w:val="both"/>
              <w:rPr>
                <w:rFonts w:cs="Times New Roman"/>
                <w:i/>
                <w:szCs w:val="24"/>
                <w:lang w:val="fr-FR"/>
              </w:rPr>
            </w:pPr>
            <w:r w:rsidRPr="00960999">
              <w:rPr>
                <w:rFonts w:cs="Times New Roman"/>
                <w:i/>
                <w:szCs w:val="24"/>
                <w:lang w:val="fr-FR"/>
              </w:rPr>
              <w:t xml:space="preserve">En 2015, le nombre de DMPA-SC distribué s’élevait à 2477 à Zinder (phase pilote) sur un stock de 111.554. En Octobre 2018, la quantité disponible était de 468.580 et la moyenne de consommation s’élevait à 16.733. </w:t>
            </w:r>
          </w:p>
          <w:p w:rsidR="00540AAA" w:rsidRDefault="00540AAA" w:rsidP="00BE5D77">
            <w:pPr>
              <w:jc w:val="both"/>
              <w:rPr>
                <w:rFonts w:cs="Times New Roman"/>
                <w:i/>
                <w:szCs w:val="24"/>
                <w:lang w:val="fr-FR"/>
              </w:rPr>
            </w:pPr>
          </w:p>
          <w:p w:rsidR="006F13E4" w:rsidRPr="00960999" w:rsidRDefault="006F13E4" w:rsidP="00BE5D77">
            <w:pPr>
              <w:jc w:val="both"/>
              <w:rPr>
                <w:rFonts w:cs="Times New Roman"/>
                <w:i/>
                <w:szCs w:val="24"/>
                <w:lang w:val="fr-FR"/>
              </w:rPr>
            </w:pPr>
            <w:r w:rsidRPr="00960999">
              <w:rPr>
                <w:rFonts w:cs="Times New Roman"/>
                <w:i/>
                <w:szCs w:val="24"/>
                <w:lang w:val="fr-FR"/>
              </w:rPr>
              <w:t xml:space="preserve">En Février 2019, le stock était de 305.200 et la quantité distribuée de 14.753. A la date du 31 Mai 2019, le stock est passé de 703.400 avec une sortie moyenne mensuelle de 13.017. </w:t>
            </w:r>
          </w:p>
        </w:tc>
      </w:tr>
    </w:tbl>
    <w:p w:rsidR="006F13E4" w:rsidRPr="00960999" w:rsidRDefault="006F13E4" w:rsidP="009850DF">
      <w:pPr>
        <w:jc w:val="both"/>
        <w:rPr>
          <w:rFonts w:cs="Times New Roman"/>
          <w:sz w:val="14"/>
          <w:szCs w:val="24"/>
          <w:lang w:val="fr-FR"/>
        </w:rPr>
      </w:pPr>
    </w:p>
    <w:p w:rsidR="006F13E4" w:rsidRPr="00960999" w:rsidRDefault="006F13E4" w:rsidP="009850DF">
      <w:pPr>
        <w:jc w:val="both"/>
        <w:rPr>
          <w:rFonts w:cs="Times New Roman"/>
          <w:sz w:val="6"/>
          <w:szCs w:val="24"/>
          <w:lang w:val="fr-FR"/>
        </w:rPr>
      </w:pPr>
    </w:p>
    <w:p w:rsidR="00B4464C" w:rsidRPr="0079228E" w:rsidRDefault="007753BF" w:rsidP="00B4464C">
      <w:pPr>
        <w:rPr>
          <w:rFonts w:eastAsiaTheme="minorHAnsi"/>
          <w:b/>
          <w:color w:val="44546A" w:themeColor="text2"/>
          <w:lang w:val="fr-FR"/>
        </w:rPr>
      </w:pPr>
      <w:r w:rsidRPr="0079228E">
        <w:rPr>
          <w:rFonts w:eastAsiaTheme="minorHAnsi"/>
          <w:b/>
          <w:color w:val="44546A" w:themeColor="text2"/>
          <w:lang w:val="fr-FR"/>
        </w:rPr>
        <w:t xml:space="preserve">Circuit d’approvisionnement logistique se présente comme </w:t>
      </w:r>
      <w:r w:rsidR="00D06818" w:rsidRPr="0079228E">
        <w:rPr>
          <w:rFonts w:eastAsiaTheme="minorHAnsi"/>
          <w:b/>
          <w:color w:val="44546A" w:themeColor="text2"/>
          <w:lang w:val="fr-FR"/>
        </w:rPr>
        <w:t>suit</w:t>
      </w:r>
      <w:r w:rsidRPr="0079228E">
        <w:rPr>
          <w:rFonts w:eastAsiaTheme="minorHAnsi"/>
          <w:b/>
          <w:color w:val="44546A" w:themeColor="text2"/>
          <w:lang w:val="fr-FR"/>
        </w:rPr>
        <w:t xml:space="preserve"> : </w:t>
      </w:r>
    </w:p>
    <w:p w:rsidR="00B4464C" w:rsidRPr="00A5720B" w:rsidRDefault="00B4464C" w:rsidP="00B4464C">
      <w:pPr>
        <w:rPr>
          <w:rFonts w:cs="Times New Roman"/>
          <w:lang w:val="fr-FR"/>
        </w:rPr>
      </w:pPr>
      <w:r w:rsidRPr="00A5720B">
        <w:rPr>
          <w:rFonts w:cs="Times New Roman"/>
          <w:noProof/>
        </w:rPr>
        <mc:AlternateContent>
          <mc:Choice Requires="wps">
            <w:drawing>
              <wp:anchor distT="0" distB="0" distL="114300" distR="114300" simplePos="0" relativeHeight="251671552" behindDoc="0" locked="0" layoutInCell="1" allowOverlap="1" wp14:anchorId="07902196" wp14:editId="3F652234">
                <wp:simplePos x="0" y="0"/>
                <wp:positionH relativeFrom="column">
                  <wp:posOffset>5163083</wp:posOffset>
                </wp:positionH>
                <wp:positionV relativeFrom="paragraph">
                  <wp:posOffset>39878</wp:posOffset>
                </wp:positionV>
                <wp:extent cx="877824" cy="408305"/>
                <wp:effectExtent l="0" t="0" r="17780" b="10795"/>
                <wp:wrapNone/>
                <wp:docPr id="16" name="Rectangle à coins arrondis 16"/>
                <wp:cNvGraphicFramePr/>
                <a:graphic xmlns:a="http://schemas.openxmlformats.org/drawingml/2006/main">
                  <a:graphicData uri="http://schemas.microsoft.com/office/word/2010/wordprocessingShape">
                    <wps:wsp>
                      <wps:cNvSpPr/>
                      <wps:spPr>
                        <a:xfrm>
                          <a:off x="0" y="0"/>
                          <a:ext cx="877824" cy="40830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77290" w:rsidRPr="00391307" w:rsidRDefault="00177290" w:rsidP="00B4464C">
                            <w:pPr>
                              <w:jc w:val="center"/>
                              <w:rPr>
                                <w:sz w:val="18"/>
                                <w:szCs w:val="18"/>
                              </w:rPr>
                            </w:pPr>
                            <w:r w:rsidRPr="00391307">
                              <w:rPr>
                                <w:sz w:val="18"/>
                                <w:szCs w:val="18"/>
                              </w:rPr>
                              <w:t>Case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02196" id="Rectangle à coins arrondis 16" o:spid="_x0000_s1038" style="position:absolute;margin-left:406.55pt;margin-top:3.15pt;width:69.1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" fillcolor="white [3201]" strokecolor="#4472c4 [3208]" strokeweight="1pt">
                <v:stroke joinstyle="miter"/>
                <v:textbox>
                  <w:txbxContent>
                    <w:p w:rsidR="00177290" w:rsidRPr="00391307" w:rsidRDefault="00177290" w:rsidP="00B4464C">
                      <w:pPr>
                        <w:jc w:val="center"/>
                        <w:rPr>
                          <w:sz w:val="18"/>
                          <w:szCs w:val="18"/>
                        </w:rPr>
                      </w:pPr>
                      <w:r w:rsidRPr="00391307">
                        <w:rPr>
                          <w:sz w:val="18"/>
                          <w:szCs w:val="18"/>
                        </w:rPr>
                        <w:t>Case de santé</w:t>
                      </w:r>
                    </w:p>
                  </w:txbxContent>
                </v:textbox>
              </v:roundrect>
            </w:pict>
          </mc:Fallback>
        </mc:AlternateContent>
      </w:r>
      <w:r w:rsidRPr="00A5720B">
        <w:rPr>
          <w:rFonts w:cs="Times New Roman"/>
          <w:noProof/>
        </w:rPr>
        <mc:AlternateContent>
          <mc:Choice Requires="wps">
            <w:drawing>
              <wp:anchor distT="0" distB="0" distL="114300" distR="114300" simplePos="0" relativeHeight="251672576" behindDoc="0" locked="0" layoutInCell="1" allowOverlap="1" wp14:anchorId="25DDECE6" wp14:editId="4DD5FC62">
                <wp:simplePos x="0" y="0"/>
                <wp:positionH relativeFrom="column">
                  <wp:posOffset>4848530</wp:posOffset>
                </wp:positionH>
                <wp:positionV relativeFrom="paragraph">
                  <wp:posOffset>127661</wp:posOffset>
                </wp:positionV>
                <wp:extent cx="270662" cy="197282"/>
                <wp:effectExtent l="0" t="19050" r="34290" b="31750"/>
                <wp:wrapNone/>
                <wp:docPr id="17" name="Flèche droite 17"/>
                <wp:cNvGraphicFramePr/>
                <a:graphic xmlns:a="http://schemas.openxmlformats.org/drawingml/2006/main">
                  <a:graphicData uri="http://schemas.microsoft.com/office/word/2010/wordprocessingShape">
                    <wps:wsp>
                      <wps:cNvSpPr/>
                      <wps:spPr>
                        <a:xfrm>
                          <a:off x="0" y="0"/>
                          <a:ext cx="270662" cy="19728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9DB8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7" o:spid="_x0000_s1026" type="#_x0000_t13" style="position:absolute;margin-left:381.75pt;margin-top:10.05pt;width:21.3pt;height:1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" adj="13728" fillcolor="black [3200]" strokecolor="black [1600]" strokeweight="1pt"/>
            </w:pict>
          </mc:Fallback>
        </mc:AlternateContent>
      </w:r>
      <w:r w:rsidRPr="00A5720B">
        <w:rPr>
          <w:rFonts w:cs="Times New Roman"/>
          <w:noProof/>
        </w:rPr>
        <w:drawing>
          <wp:inline distT="0" distB="0" distL="0" distR="0" wp14:anchorId="25402AB9" wp14:editId="29B3BCFF">
            <wp:extent cx="6329238" cy="445273"/>
            <wp:effectExtent l="19050" t="0" r="0" b="12065"/>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4464C" w:rsidRPr="00960999" w:rsidRDefault="00B4464C" w:rsidP="009850DF">
      <w:pPr>
        <w:jc w:val="both"/>
        <w:rPr>
          <w:rFonts w:cs="Times New Roman"/>
          <w:szCs w:val="24"/>
          <w:lang w:val="fr-FR"/>
        </w:rPr>
      </w:pPr>
      <w:r w:rsidRPr="00960999">
        <w:rPr>
          <w:rFonts w:cs="Times New Roman"/>
          <w:szCs w:val="24"/>
          <w:lang w:val="fr-FR"/>
        </w:rPr>
        <w:lastRenderedPageBreak/>
        <w:t xml:space="preserve">L’ONPPC est l’organe chargé de la gestion de la chaine d’approvisionnement en produits contraceptifs dont le DMPA-SC. Elle se charge de l’achat des produits avec les fonds alloués par l’Etat. Néanmoins, l’achat des produits SR est essentiellement géré par l’UNFPA (principal bailleur) suivi de l’USAID. </w:t>
      </w:r>
    </w:p>
    <w:p w:rsidR="00B4464C" w:rsidRPr="00960999" w:rsidRDefault="00B4464C" w:rsidP="009850DF">
      <w:pPr>
        <w:jc w:val="both"/>
        <w:rPr>
          <w:rFonts w:cs="Times New Roman"/>
          <w:szCs w:val="24"/>
          <w:lang w:val="fr-FR"/>
        </w:rPr>
      </w:pPr>
      <w:r w:rsidRPr="00960999">
        <w:rPr>
          <w:rFonts w:cs="Times New Roman"/>
          <w:szCs w:val="24"/>
          <w:lang w:val="fr-FR"/>
        </w:rPr>
        <w:t xml:space="preserve">L’Etat et l’UNFPA sont les seuls fournisseurs des OSC qui font l’offre de service. Les structures comme Animas Sutura s’approvisionnent en DMPA-SC par le circuit de l’Etat mais disposent de leur propre unité de gestion (dépôt pharmaceutique). </w:t>
      </w:r>
    </w:p>
    <w:p w:rsidR="00B4464C" w:rsidRDefault="00B4464C" w:rsidP="009850DF">
      <w:pPr>
        <w:jc w:val="both"/>
        <w:rPr>
          <w:rFonts w:cs="Times New Roman"/>
          <w:szCs w:val="24"/>
          <w:lang w:val="fr-FR"/>
        </w:rPr>
      </w:pPr>
      <w:r w:rsidRPr="00960999">
        <w:rPr>
          <w:rFonts w:cs="Times New Roman"/>
          <w:szCs w:val="24"/>
          <w:lang w:val="fr-FR"/>
        </w:rPr>
        <w:t xml:space="preserve">Ce circuit rencontre des problèmes particulièrement celui lié à la gestion de l’acheminement qui se résume au problème du transport et les conséquences que ceci a sur toute la chaine (lenteur d’approvisionnement, rupture de stock…). </w:t>
      </w:r>
    </w:p>
    <w:p w:rsidR="0079228E" w:rsidRDefault="0079228E" w:rsidP="009850DF">
      <w:pPr>
        <w:jc w:val="both"/>
        <w:rPr>
          <w:rFonts w:cs="Times New Roman"/>
          <w:szCs w:val="24"/>
          <w:lang w:val="fr-FR"/>
        </w:rPr>
      </w:pPr>
    </w:p>
    <w:p w:rsidR="0079228E" w:rsidRDefault="0079228E" w:rsidP="009850DF">
      <w:pPr>
        <w:jc w:val="both"/>
        <w:rPr>
          <w:rFonts w:cs="Times New Roman"/>
          <w:szCs w:val="24"/>
          <w:lang w:val="fr-FR"/>
        </w:rPr>
      </w:pPr>
    </w:p>
    <w:p w:rsidR="00B4464C" w:rsidRPr="00C77A4E" w:rsidRDefault="00960999" w:rsidP="00177290">
      <w:pPr>
        <w:pStyle w:val="Style5"/>
        <w:ind w:left="0" w:firstLine="0"/>
      </w:pPr>
      <w:bookmarkStart w:id="142" w:name="_Toc3996456"/>
      <w:r>
        <w:rPr>
          <w:b w:val="0"/>
          <w:bCs/>
          <w:szCs w:val="22"/>
          <w:u w:color="000000"/>
          <w:bdr w:val="nil"/>
        </w:rPr>
        <w:br w:type="page"/>
      </w:r>
      <w:bookmarkStart w:id="143" w:name="_Toc19203084"/>
      <w:r w:rsidR="00582D37" w:rsidRPr="00C77A4E">
        <w:lastRenderedPageBreak/>
        <w:t>R</w:t>
      </w:r>
      <w:r w:rsidR="00B4464C" w:rsidRPr="00C77A4E">
        <w:t>ôle</w:t>
      </w:r>
      <w:r w:rsidR="00582D37" w:rsidRPr="00C77A4E">
        <w:t>s</w:t>
      </w:r>
      <w:r w:rsidR="00B4464C" w:rsidRPr="00C77A4E">
        <w:t xml:space="preserve"> des parties prenantes et coordination des acteurs</w:t>
      </w:r>
      <w:bookmarkEnd w:id="142"/>
      <w:bookmarkEnd w:id="143"/>
    </w:p>
    <w:p w:rsidR="0079228E" w:rsidRPr="0079228E" w:rsidRDefault="0079228E" w:rsidP="0079228E">
      <w:pPr>
        <w:pStyle w:val="Jhp1stLevelHeadingh1"/>
        <w:tabs>
          <w:tab w:val="left" w:pos="426"/>
        </w:tabs>
        <w:rPr>
          <w:sz w:val="2"/>
          <w:szCs w:val="26"/>
          <w:lang w:val="fr-FR"/>
        </w:rPr>
      </w:pPr>
    </w:p>
    <w:p w:rsidR="00B4464C" w:rsidRPr="003C5B1A" w:rsidRDefault="00960999" w:rsidP="00361443">
      <w:pPr>
        <w:pStyle w:val="ListParagraph"/>
        <w:numPr>
          <w:ilvl w:val="0"/>
          <w:numId w:val="9"/>
        </w:numPr>
        <w:spacing w:after="120" w:line="240" w:lineRule="auto"/>
        <w:ind w:left="357" w:hanging="357"/>
        <w:jc w:val="both"/>
        <w:rPr>
          <w:rFonts w:cs="Times New Roman"/>
          <w:b/>
          <w:color w:val="44546A" w:themeColor="text2"/>
          <w:szCs w:val="24"/>
          <w:lang w:val="fr-FR"/>
        </w:rPr>
      </w:pPr>
      <w:r w:rsidRPr="003C5B1A">
        <w:rPr>
          <w:rFonts w:cs="Times New Roman"/>
          <w:b/>
          <w:color w:val="44546A" w:themeColor="text2"/>
          <w:szCs w:val="24"/>
          <w:lang w:val="fr-FR"/>
        </w:rPr>
        <w:t>Les acteurs et p</w:t>
      </w:r>
      <w:r w:rsidR="00582D37" w:rsidRPr="003C5B1A">
        <w:rPr>
          <w:rFonts w:cs="Times New Roman"/>
          <w:b/>
          <w:color w:val="44546A" w:themeColor="text2"/>
          <w:szCs w:val="24"/>
          <w:lang w:val="fr-FR"/>
        </w:rPr>
        <w:t xml:space="preserve">arties prenantes </w:t>
      </w:r>
      <w:r w:rsidRPr="003C5B1A">
        <w:rPr>
          <w:rFonts w:cs="Times New Roman"/>
          <w:b/>
          <w:color w:val="44546A" w:themeColor="text2"/>
          <w:szCs w:val="24"/>
          <w:lang w:val="fr-FR"/>
        </w:rPr>
        <w:t>du DMPA-SC</w:t>
      </w:r>
      <w:r w:rsidR="00582D37" w:rsidRPr="003C5B1A">
        <w:rPr>
          <w:rFonts w:cs="Times New Roman"/>
          <w:b/>
          <w:color w:val="44546A" w:themeColor="text2"/>
          <w:szCs w:val="24"/>
          <w:lang w:val="fr-FR"/>
        </w:rPr>
        <w:t xml:space="preserve"> </w:t>
      </w:r>
    </w:p>
    <w:p w:rsidR="00582D37" w:rsidRPr="003C5B1A" w:rsidRDefault="00582D37" w:rsidP="00960999">
      <w:pPr>
        <w:spacing w:after="0"/>
        <w:jc w:val="both"/>
        <w:rPr>
          <w:rFonts w:eastAsiaTheme="minorHAnsi"/>
          <w:color w:val="44546A" w:themeColor="text2"/>
          <w:lang w:val="fr-FR"/>
        </w:rPr>
      </w:pPr>
      <w:r w:rsidRPr="0079228E">
        <w:rPr>
          <w:rFonts w:eastAsiaTheme="minorHAnsi"/>
          <w:b/>
          <w:color w:val="44546A" w:themeColor="text2"/>
          <w:lang w:val="fr-FR"/>
        </w:rPr>
        <w:t>Tableau</w:t>
      </w:r>
      <w:r w:rsidR="007753BF" w:rsidRPr="0079228E">
        <w:rPr>
          <w:rFonts w:eastAsiaTheme="minorHAnsi"/>
          <w:b/>
          <w:color w:val="44546A" w:themeColor="text2"/>
          <w:lang w:val="fr-FR"/>
        </w:rPr>
        <w:t xml:space="preserve"> 2</w:t>
      </w:r>
      <w:r w:rsidRPr="0079228E">
        <w:rPr>
          <w:rFonts w:eastAsiaTheme="minorHAnsi"/>
          <w:b/>
          <w:color w:val="44546A" w:themeColor="text2"/>
          <w:lang w:val="fr-FR"/>
        </w:rPr>
        <w:t xml:space="preserve"> : </w:t>
      </w:r>
      <w:r w:rsidRPr="003C5B1A">
        <w:rPr>
          <w:rFonts w:eastAsiaTheme="minorHAnsi"/>
          <w:color w:val="44546A" w:themeColor="text2"/>
          <w:lang w:val="fr-FR"/>
        </w:rPr>
        <w:t>liste et rôles des parties prenantes</w:t>
      </w:r>
    </w:p>
    <w:tbl>
      <w:tblPr>
        <w:tblStyle w:val="TableGrid"/>
        <w:tblW w:w="0" w:type="auto"/>
        <w:tblLook w:val="04A0" w:firstRow="1" w:lastRow="0" w:firstColumn="1" w:lastColumn="0" w:noHBand="0" w:noVBand="1"/>
      </w:tblPr>
      <w:tblGrid>
        <w:gridCol w:w="1323"/>
        <w:gridCol w:w="2273"/>
        <w:gridCol w:w="2810"/>
        <w:gridCol w:w="3471"/>
      </w:tblGrid>
      <w:tr w:rsidR="00B4464C" w:rsidRPr="00960999" w:rsidTr="00356100">
        <w:trPr>
          <w:trHeight w:val="228"/>
        </w:trPr>
        <w:tc>
          <w:tcPr>
            <w:tcW w:w="0" w:type="auto"/>
            <w:gridSpan w:val="2"/>
            <w:shd w:val="clear" w:color="auto" w:fill="B4C6E7" w:themeFill="accent5" w:themeFillTint="66"/>
            <w:vAlign w:val="center"/>
          </w:tcPr>
          <w:p w:rsidR="00B4464C" w:rsidRPr="00960999" w:rsidRDefault="00B4464C" w:rsidP="00356100">
            <w:pPr>
              <w:widowControl/>
              <w:autoSpaceDE/>
              <w:autoSpaceDN/>
              <w:spacing w:line="259" w:lineRule="auto"/>
              <w:rPr>
                <w:rFonts w:cs="Times New Roman"/>
                <w:b/>
                <w:sz w:val="20"/>
                <w:lang w:val="fr-FR"/>
              </w:rPr>
            </w:pPr>
            <w:r w:rsidRPr="00960999">
              <w:rPr>
                <w:rFonts w:cs="Times New Roman"/>
                <w:b/>
                <w:sz w:val="20"/>
                <w:lang w:val="fr-FR"/>
              </w:rPr>
              <w:t xml:space="preserve">Structures </w:t>
            </w:r>
          </w:p>
        </w:tc>
        <w:tc>
          <w:tcPr>
            <w:tcW w:w="0" w:type="auto"/>
            <w:shd w:val="clear" w:color="auto" w:fill="B4C6E7" w:themeFill="accent5" w:themeFillTint="66"/>
            <w:vAlign w:val="center"/>
          </w:tcPr>
          <w:p w:rsidR="00B4464C" w:rsidRPr="00960999" w:rsidRDefault="00B4464C" w:rsidP="00356100">
            <w:pPr>
              <w:widowControl/>
              <w:autoSpaceDE/>
              <w:autoSpaceDN/>
              <w:spacing w:line="259" w:lineRule="auto"/>
              <w:rPr>
                <w:rFonts w:cs="Times New Roman"/>
                <w:b/>
                <w:sz w:val="20"/>
                <w:lang w:val="fr-FR"/>
              </w:rPr>
            </w:pPr>
            <w:r w:rsidRPr="00960999">
              <w:rPr>
                <w:rFonts w:cs="Times New Roman"/>
                <w:b/>
                <w:sz w:val="20"/>
                <w:lang w:val="fr-FR"/>
              </w:rPr>
              <w:t xml:space="preserve">Constats </w:t>
            </w:r>
          </w:p>
        </w:tc>
        <w:tc>
          <w:tcPr>
            <w:tcW w:w="0" w:type="auto"/>
            <w:shd w:val="clear" w:color="auto" w:fill="B4C6E7" w:themeFill="accent5" w:themeFillTint="66"/>
            <w:vAlign w:val="center"/>
          </w:tcPr>
          <w:p w:rsidR="00B4464C" w:rsidRPr="00960999" w:rsidRDefault="00B4464C" w:rsidP="00356100">
            <w:pPr>
              <w:widowControl/>
              <w:autoSpaceDE/>
              <w:autoSpaceDN/>
              <w:spacing w:line="259" w:lineRule="auto"/>
              <w:rPr>
                <w:rFonts w:cs="Times New Roman"/>
                <w:b/>
                <w:sz w:val="20"/>
                <w:lang w:val="fr-FR"/>
              </w:rPr>
            </w:pPr>
            <w:r w:rsidRPr="00960999">
              <w:rPr>
                <w:rFonts w:cs="Times New Roman"/>
                <w:b/>
                <w:sz w:val="20"/>
                <w:lang w:val="fr-FR"/>
              </w:rPr>
              <w:t>Piste de solution</w:t>
            </w:r>
          </w:p>
        </w:tc>
      </w:tr>
      <w:tr w:rsidR="00B4464C" w:rsidRPr="00FC1C39" w:rsidTr="00960999">
        <w:trPr>
          <w:trHeight w:val="1408"/>
        </w:trPr>
        <w:tc>
          <w:tcPr>
            <w:tcW w:w="0" w:type="auto"/>
            <w:vMerge w:val="restart"/>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Ministère de la santé publique</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Direction Planification Familiale</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 xml:space="preserve">Elle a été récemment instituée. Elle ne dispose pas encore de personnel en quantité. Plusieurs défis à relever pour atteindre les objectifs du pays. </w:t>
            </w:r>
          </w:p>
        </w:tc>
        <w:tc>
          <w:tcPr>
            <w:tcW w:w="0" w:type="auto"/>
          </w:tcPr>
          <w:p w:rsidR="00B4464C" w:rsidRPr="00960999" w:rsidRDefault="00B4464C" w:rsidP="009850DF">
            <w:pPr>
              <w:widowControl/>
              <w:autoSpaceDE/>
              <w:autoSpaceDN/>
              <w:spacing w:after="160" w:line="259" w:lineRule="auto"/>
              <w:jc w:val="both"/>
              <w:rPr>
                <w:rFonts w:cs="Times New Roman"/>
                <w:sz w:val="20"/>
                <w:lang w:val="fr-FR"/>
              </w:rPr>
            </w:pPr>
            <w:r w:rsidRPr="0079228E">
              <w:rPr>
                <w:rFonts w:cs="Times New Roman"/>
                <w:sz w:val="18"/>
                <w:lang w:val="fr-FR"/>
              </w:rPr>
              <w:t xml:space="preserve">Renforcer le cadre de coordination, de suivi et d’échange avec les partenaires comme le comité technique et créer les conditions d’une redevabilité accrue de part et d’autre. </w:t>
            </w:r>
          </w:p>
        </w:tc>
      </w:tr>
      <w:tr w:rsidR="00B4464C" w:rsidRPr="00FC1C39" w:rsidTr="009850DF">
        <w:trPr>
          <w:trHeight w:val="121"/>
        </w:trPr>
        <w:tc>
          <w:tcPr>
            <w:tcW w:w="0" w:type="auto"/>
            <w:vMerge/>
          </w:tcPr>
          <w:p w:rsidR="00B4464C" w:rsidRPr="00960999" w:rsidRDefault="00B4464C" w:rsidP="009850DF">
            <w:pPr>
              <w:widowControl/>
              <w:autoSpaceDE/>
              <w:autoSpaceDN/>
              <w:spacing w:after="160" w:line="259" w:lineRule="auto"/>
              <w:jc w:val="both"/>
              <w:rPr>
                <w:rFonts w:cs="Times New Roman"/>
                <w:sz w:val="18"/>
                <w:lang w:val="fr-FR"/>
              </w:rPr>
            </w:pP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DRSP</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Elle coordonne les interventions au niveau des régions et sont les portes d’entrée pour les acteurs qui interviennent</w:t>
            </w:r>
          </w:p>
        </w:tc>
        <w:tc>
          <w:tcPr>
            <w:tcW w:w="0" w:type="auto"/>
          </w:tcPr>
          <w:p w:rsidR="00B4464C" w:rsidRPr="00960999" w:rsidRDefault="00B4464C" w:rsidP="009850DF">
            <w:pPr>
              <w:widowControl/>
              <w:autoSpaceDE/>
              <w:autoSpaceDN/>
              <w:spacing w:after="160" w:line="259" w:lineRule="auto"/>
              <w:jc w:val="both"/>
              <w:rPr>
                <w:rFonts w:cs="Times New Roman"/>
                <w:sz w:val="20"/>
                <w:lang w:val="fr-FR"/>
              </w:rPr>
            </w:pPr>
            <w:r w:rsidRPr="0079228E">
              <w:rPr>
                <w:rFonts w:cs="Times New Roman"/>
                <w:sz w:val="18"/>
                <w:lang w:val="fr-FR"/>
              </w:rPr>
              <w:t xml:space="preserve">Créer les comités techniques de suivi du plan PF au niveau des régions </w:t>
            </w:r>
          </w:p>
        </w:tc>
      </w:tr>
      <w:tr w:rsidR="00B4464C" w:rsidRPr="00FC1C39" w:rsidTr="009850DF">
        <w:trPr>
          <w:trHeight w:val="1123"/>
        </w:trPr>
        <w:tc>
          <w:tcPr>
            <w:tcW w:w="0" w:type="auto"/>
            <w:vMerge w:val="restart"/>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Secteur Privé</w:t>
            </w:r>
          </w:p>
        </w:tc>
        <w:tc>
          <w:tcPr>
            <w:tcW w:w="0" w:type="auto"/>
            <w:gridSpan w:val="3"/>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 xml:space="preserve">L’offre du DMPA-SC est très faible au niveau des structures sanitaires privées. Seule la région de Niamey dispose de pharmacies qui commercialisent le produit ainsi que des cliniques privées qui administrent le produit. Les données du privé sont prises en compte dans les données de l’entité administrative sanitaire de rattachement. Le dernier DHIS2 prévoit le </w:t>
            </w:r>
            <w:proofErr w:type="spellStart"/>
            <w:r w:rsidRPr="00960999">
              <w:rPr>
                <w:rFonts w:cs="Times New Roman"/>
                <w:sz w:val="18"/>
                <w:lang w:val="fr-FR"/>
              </w:rPr>
              <w:t>reporting</w:t>
            </w:r>
            <w:proofErr w:type="spellEnd"/>
            <w:r w:rsidRPr="00960999">
              <w:rPr>
                <w:rFonts w:cs="Times New Roman"/>
                <w:sz w:val="18"/>
                <w:lang w:val="fr-FR"/>
              </w:rPr>
              <w:t xml:space="preserve"> des données du privé mensuellement.</w:t>
            </w:r>
          </w:p>
        </w:tc>
      </w:tr>
      <w:tr w:rsidR="00B4464C" w:rsidRPr="00FC1C39" w:rsidTr="009850DF">
        <w:trPr>
          <w:trHeight w:val="121"/>
        </w:trPr>
        <w:tc>
          <w:tcPr>
            <w:tcW w:w="0" w:type="auto"/>
            <w:vMerge/>
          </w:tcPr>
          <w:p w:rsidR="00B4464C" w:rsidRPr="00960999" w:rsidRDefault="00B4464C" w:rsidP="009850DF">
            <w:pPr>
              <w:widowControl/>
              <w:autoSpaceDE/>
              <w:autoSpaceDN/>
              <w:spacing w:after="160" w:line="259" w:lineRule="auto"/>
              <w:jc w:val="both"/>
              <w:rPr>
                <w:rFonts w:cs="Times New Roman"/>
                <w:sz w:val="18"/>
                <w:lang w:val="fr-FR"/>
              </w:rPr>
            </w:pP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Formations sanitaires</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A Niamey seulement, il existe plus de 60 cliniques et salles de soins</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Le plaidoyer pour l’introduction du DMPA-SC à toute la pyramide permettra aux cliniques aussi de se conformer et d’administrer le produit conformément aux directives étatiques</w:t>
            </w:r>
          </w:p>
        </w:tc>
      </w:tr>
      <w:tr w:rsidR="00B4464C" w:rsidRPr="00FC1C39" w:rsidTr="009850DF">
        <w:trPr>
          <w:trHeight w:val="121"/>
        </w:trPr>
        <w:tc>
          <w:tcPr>
            <w:tcW w:w="0" w:type="auto"/>
            <w:vMerge/>
          </w:tcPr>
          <w:p w:rsidR="00B4464C" w:rsidRPr="00960999" w:rsidRDefault="00B4464C" w:rsidP="009850DF">
            <w:pPr>
              <w:widowControl/>
              <w:autoSpaceDE/>
              <w:autoSpaceDN/>
              <w:spacing w:after="160" w:line="259" w:lineRule="auto"/>
              <w:jc w:val="both"/>
              <w:rPr>
                <w:rFonts w:cs="Times New Roman"/>
                <w:sz w:val="18"/>
                <w:lang w:val="fr-FR"/>
              </w:rPr>
            </w:pP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 xml:space="preserve">Pharmacies populaires  </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Il existe 44 et cela constitue une opportunité</w:t>
            </w:r>
          </w:p>
        </w:tc>
        <w:tc>
          <w:tcPr>
            <w:tcW w:w="0" w:type="auto"/>
            <w:vMerge w:val="restart"/>
          </w:tcPr>
          <w:p w:rsidR="00B4464C" w:rsidRPr="00960999" w:rsidRDefault="00B4464C" w:rsidP="009850DF">
            <w:pPr>
              <w:spacing w:after="160" w:line="259" w:lineRule="auto"/>
              <w:jc w:val="both"/>
              <w:rPr>
                <w:rFonts w:cs="Times New Roman"/>
                <w:sz w:val="18"/>
                <w:lang w:val="fr-FR"/>
              </w:rPr>
            </w:pPr>
            <w:r w:rsidRPr="00960999">
              <w:rPr>
                <w:rFonts w:cs="Times New Roman"/>
                <w:sz w:val="18"/>
                <w:lang w:val="fr-FR"/>
              </w:rPr>
              <w:t xml:space="preserve">Un plaidoyer doit être mené pour permettre au personnel des officines privées d’administrer le DMPA-SC mais aussi pour amener les pharmacies et les kiosques qui ne le font pas à commercialiser le DMPA-SC. </w:t>
            </w:r>
          </w:p>
          <w:p w:rsidR="00B4464C" w:rsidRPr="00960999" w:rsidRDefault="00B4464C" w:rsidP="009850DF">
            <w:pPr>
              <w:widowControl/>
              <w:autoSpaceDE/>
              <w:autoSpaceDN/>
              <w:spacing w:after="160" w:line="259" w:lineRule="auto"/>
              <w:jc w:val="both"/>
              <w:rPr>
                <w:rFonts w:cs="Times New Roman"/>
                <w:sz w:val="18"/>
                <w:lang w:val="fr-FR"/>
              </w:rPr>
            </w:pPr>
          </w:p>
        </w:tc>
      </w:tr>
      <w:tr w:rsidR="00B4464C" w:rsidRPr="00FC1C39" w:rsidTr="009850DF">
        <w:trPr>
          <w:trHeight w:val="121"/>
        </w:trPr>
        <w:tc>
          <w:tcPr>
            <w:tcW w:w="0" w:type="auto"/>
            <w:vMerge/>
          </w:tcPr>
          <w:p w:rsidR="00B4464C" w:rsidRPr="00960999" w:rsidRDefault="00B4464C" w:rsidP="009850DF">
            <w:pPr>
              <w:widowControl/>
              <w:autoSpaceDE/>
              <w:autoSpaceDN/>
              <w:spacing w:after="160" w:line="259" w:lineRule="auto"/>
              <w:jc w:val="both"/>
              <w:rPr>
                <w:rFonts w:cs="Times New Roman"/>
                <w:sz w:val="18"/>
                <w:lang w:val="fr-FR"/>
              </w:rPr>
            </w:pP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Pharmacies  privées</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Il existe 121 et certaines sont déjà dans la vente du produit</w:t>
            </w:r>
          </w:p>
        </w:tc>
        <w:tc>
          <w:tcPr>
            <w:tcW w:w="0" w:type="auto"/>
            <w:vMerge/>
          </w:tcPr>
          <w:p w:rsidR="00B4464C" w:rsidRPr="00960999" w:rsidRDefault="00B4464C" w:rsidP="009850DF">
            <w:pPr>
              <w:widowControl/>
              <w:autoSpaceDE/>
              <w:autoSpaceDN/>
              <w:spacing w:after="160" w:line="259" w:lineRule="auto"/>
              <w:jc w:val="both"/>
              <w:rPr>
                <w:rFonts w:cs="Times New Roman"/>
                <w:sz w:val="20"/>
                <w:lang w:val="fr-FR"/>
              </w:rPr>
            </w:pPr>
          </w:p>
        </w:tc>
      </w:tr>
      <w:tr w:rsidR="00B4464C" w:rsidRPr="00FC1C39" w:rsidTr="009850DF">
        <w:trPr>
          <w:trHeight w:val="121"/>
        </w:trPr>
        <w:tc>
          <w:tcPr>
            <w:tcW w:w="0" w:type="auto"/>
            <w:vMerge/>
          </w:tcPr>
          <w:p w:rsidR="00B4464C" w:rsidRPr="00960999" w:rsidRDefault="00B4464C" w:rsidP="009850DF">
            <w:pPr>
              <w:widowControl/>
              <w:autoSpaceDE/>
              <w:autoSpaceDN/>
              <w:spacing w:after="160" w:line="259" w:lineRule="auto"/>
              <w:jc w:val="both"/>
              <w:rPr>
                <w:rFonts w:cs="Times New Roman"/>
                <w:sz w:val="18"/>
                <w:lang w:val="fr-FR"/>
              </w:rPr>
            </w:pP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Dépôt pharmaceutique</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Il existe 211 sur l’ensemble du territoire</w:t>
            </w:r>
          </w:p>
        </w:tc>
        <w:tc>
          <w:tcPr>
            <w:tcW w:w="0" w:type="auto"/>
            <w:vMerge/>
          </w:tcPr>
          <w:p w:rsidR="00B4464C" w:rsidRPr="00960999" w:rsidRDefault="00B4464C" w:rsidP="009850DF">
            <w:pPr>
              <w:widowControl/>
              <w:autoSpaceDE/>
              <w:autoSpaceDN/>
              <w:spacing w:after="160" w:line="259" w:lineRule="auto"/>
              <w:jc w:val="both"/>
              <w:rPr>
                <w:rFonts w:cs="Times New Roman"/>
                <w:sz w:val="20"/>
                <w:lang w:val="fr-FR"/>
              </w:rPr>
            </w:pPr>
          </w:p>
        </w:tc>
      </w:tr>
      <w:tr w:rsidR="00B4464C" w:rsidRPr="00FC1C39" w:rsidTr="0079228E">
        <w:trPr>
          <w:trHeight w:val="1181"/>
        </w:trPr>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OSC actives sur le DMPA-SC</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Le marketing social</w:t>
            </w:r>
          </w:p>
        </w:tc>
        <w:tc>
          <w:tcPr>
            <w:tcW w:w="0" w:type="auto"/>
          </w:tcPr>
          <w:p w:rsidR="00B4464C" w:rsidRPr="00960999" w:rsidRDefault="00B4464C" w:rsidP="009850DF">
            <w:pPr>
              <w:widowControl/>
              <w:autoSpaceDE/>
              <w:autoSpaceDN/>
              <w:spacing w:after="160" w:line="259" w:lineRule="auto"/>
              <w:jc w:val="both"/>
              <w:rPr>
                <w:rFonts w:cs="Times New Roman"/>
                <w:sz w:val="18"/>
                <w:lang w:val="fr-FR"/>
              </w:rPr>
            </w:pPr>
            <w:r w:rsidRPr="00960999">
              <w:rPr>
                <w:rFonts w:cs="Times New Roman"/>
                <w:sz w:val="18"/>
                <w:lang w:val="fr-FR"/>
              </w:rPr>
              <w:t xml:space="preserve">Trois structures ont une approche marketing social : PSI, MSI et Animas Sutura. Cette dernière assure le lead dans le domaine et sur le DMPA-SC en particulier. </w:t>
            </w:r>
          </w:p>
        </w:tc>
        <w:tc>
          <w:tcPr>
            <w:tcW w:w="0" w:type="auto"/>
            <w:vMerge/>
          </w:tcPr>
          <w:p w:rsidR="00B4464C" w:rsidRPr="00960999" w:rsidRDefault="00B4464C" w:rsidP="009850DF">
            <w:pPr>
              <w:widowControl/>
              <w:autoSpaceDE/>
              <w:autoSpaceDN/>
              <w:spacing w:after="160" w:line="259" w:lineRule="auto"/>
              <w:jc w:val="both"/>
              <w:rPr>
                <w:rFonts w:cs="Times New Roman"/>
                <w:sz w:val="20"/>
                <w:lang w:val="fr-FR"/>
              </w:rPr>
            </w:pPr>
          </w:p>
        </w:tc>
      </w:tr>
      <w:tr w:rsidR="0079228E" w:rsidRPr="00FC1C39" w:rsidTr="00540AAA">
        <w:trPr>
          <w:trHeight w:val="630"/>
        </w:trPr>
        <w:tc>
          <w:tcPr>
            <w:tcW w:w="0" w:type="auto"/>
            <w:vMerge w:val="restart"/>
          </w:tcPr>
          <w:p w:rsidR="0079228E" w:rsidRPr="00960999" w:rsidRDefault="0079228E" w:rsidP="009850DF">
            <w:pPr>
              <w:spacing w:after="160" w:line="259" w:lineRule="auto"/>
              <w:jc w:val="both"/>
              <w:rPr>
                <w:rFonts w:cs="Times New Roman"/>
                <w:sz w:val="18"/>
                <w:lang w:val="fr-FR"/>
              </w:rPr>
            </w:pPr>
            <w:r>
              <w:rPr>
                <w:rFonts w:cs="Times New Roman"/>
                <w:sz w:val="18"/>
                <w:lang w:val="fr-FR"/>
              </w:rPr>
              <w:t>Partenaires techniques et financiers</w:t>
            </w:r>
          </w:p>
        </w:tc>
        <w:tc>
          <w:tcPr>
            <w:tcW w:w="0" w:type="auto"/>
          </w:tcPr>
          <w:p w:rsidR="0079228E" w:rsidRPr="00960999" w:rsidRDefault="0079228E" w:rsidP="0079228E">
            <w:pPr>
              <w:spacing w:after="160" w:line="259" w:lineRule="auto"/>
              <w:jc w:val="both"/>
              <w:rPr>
                <w:rFonts w:cs="Times New Roman"/>
                <w:sz w:val="18"/>
                <w:lang w:val="fr-FR"/>
              </w:rPr>
            </w:pPr>
            <w:r>
              <w:rPr>
                <w:rFonts w:cs="Times New Roman"/>
                <w:sz w:val="18"/>
                <w:lang w:val="fr-FR"/>
              </w:rPr>
              <w:t xml:space="preserve">Partenaires de mise en œuvre (ONG internationales comme MSI, PSI, </w:t>
            </w:r>
            <w:proofErr w:type="spellStart"/>
            <w:r>
              <w:rPr>
                <w:rFonts w:cs="Times New Roman"/>
                <w:sz w:val="18"/>
                <w:lang w:val="fr-FR"/>
              </w:rPr>
              <w:t>Jhpiego</w:t>
            </w:r>
            <w:proofErr w:type="spellEnd"/>
            <w:r>
              <w:rPr>
                <w:rFonts w:cs="Times New Roman"/>
                <w:sz w:val="18"/>
                <w:lang w:val="fr-FR"/>
              </w:rPr>
              <w:t xml:space="preserve"> et </w:t>
            </w:r>
            <w:proofErr w:type="spellStart"/>
            <w:r>
              <w:rPr>
                <w:rFonts w:cs="Times New Roman"/>
                <w:sz w:val="18"/>
                <w:lang w:val="fr-FR"/>
              </w:rPr>
              <w:t>Pathfinder</w:t>
            </w:r>
            <w:proofErr w:type="spellEnd"/>
            <w:r>
              <w:rPr>
                <w:rFonts w:cs="Times New Roman"/>
                <w:sz w:val="18"/>
                <w:lang w:val="fr-FR"/>
              </w:rPr>
              <w:t>…)</w:t>
            </w:r>
          </w:p>
        </w:tc>
        <w:tc>
          <w:tcPr>
            <w:tcW w:w="0" w:type="auto"/>
            <w:gridSpan w:val="2"/>
          </w:tcPr>
          <w:p w:rsidR="0079228E" w:rsidRPr="00960999" w:rsidRDefault="0079228E" w:rsidP="009850DF">
            <w:pPr>
              <w:spacing w:after="160" w:line="259" w:lineRule="auto"/>
              <w:jc w:val="both"/>
              <w:rPr>
                <w:rFonts w:cs="Times New Roman"/>
                <w:sz w:val="20"/>
                <w:lang w:val="fr-FR"/>
              </w:rPr>
            </w:pPr>
            <w:r w:rsidRPr="0079228E">
              <w:rPr>
                <w:rFonts w:cs="Times New Roman"/>
                <w:sz w:val="18"/>
                <w:lang w:val="fr-FR"/>
              </w:rPr>
              <w:t>Soutiennent les plans nationaux à travers des projets spécifiques</w:t>
            </w:r>
          </w:p>
        </w:tc>
      </w:tr>
      <w:tr w:rsidR="0079228E" w:rsidRPr="00FC1C39" w:rsidTr="0079228E">
        <w:trPr>
          <w:trHeight w:val="763"/>
        </w:trPr>
        <w:tc>
          <w:tcPr>
            <w:tcW w:w="0" w:type="auto"/>
            <w:vMerge/>
          </w:tcPr>
          <w:p w:rsidR="0079228E" w:rsidRPr="00960999" w:rsidRDefault="0079228E" w:rsidP="009850DF">
            <w:pPr>
              <w:spacing w:after="160" w:line="259" w:lineRule="auto"/>
              <w:jc w:val="both"/>
              <w:rPr>
                <w:rFonts w:cs="Times New Roman"/>
                <w:sz w:val="18"/>
                <w:lang w:val="fr-FR"/>
              </w:rPr>
            </w:pPr>
          </w:p>
        </w:tc>
        <w:tc>
          <w:tcPr>
            <w:tcW w:w="0" w:type="auto"/>
          </w:tcPr>
          <w:p w:rsidR="0079228E" w:rsidRPr="00960999" w:rsidRDefault="0079228E" w:rsidP="0079228E">
            <w:pPr>
              <w:spacing w:after="160" w:line="259" w:lineRule="auto"/>
              <w:jc w:val="both"/>
              <w:rPr>
                <w:rFonts w:cs="Times New Roman"/>
                <w:sz w:val="18"/>
                <w:lang w:val="fr-FR"/>
              </w:rPr>
            </w:pPr>
            <w:r>
              <w:rPr>
                <w:rFonts w:cs="Times New Roman"/>
                <w:sz w:val="18"/>
                <w:lang w:val="fr-FR"/>
              </w:rPr>
              <w:t>UNFPFA et USAID, DFID et des Fondations comme  Gates, CIFF…</w:t>
            </w:r>
          </w:p>
        </w:tc>
        <w:tc>
          <w:tcPr>
            <w:tcW w:w="0" w:type="auto"/>
            <w:gridSpan w:val="2"/>
          </w:tcPr>
          <w:p w:rsidR="0079228E" w:rsidRPr="00960999" w:rsidRDefault="0079228E" w:rsidP="009850DF">
            <w:pPr>
              <w:spacing w:after="160" w:line="259" w:lineRule="auto"/>
              <w:jc w:val="both"/>
              <w:rPr>
                <w:rFonts w:cs="Times New Roman"/>
                <w:sz w:val="20"/>
                <w:lang w:val="fr-FR"/>
              </w:rPr>
            </w:pPr>
            <w:r w:rsidRPr="0079228E">
              <w:rPr>
                <w:rFonts w:cs="Times New Roman"/>
                <w:sz w:val="18"/>
                <w:lang w:val="fr-FR"/>
              </w:rPr>
              <w:t>Ils appuient avec l’achat des produits et apportent également des financements aux projets de SR/PF</w:t>
            </w:r>
          </w:p>
        </w:tc>
      </w:tr>
    </w:tbl>
    <w:p w:rsidR="00B4464C" w:rsidRPr="00960999" w:rsidRDefault="00B4464C" w:rsidP="009850DF">
      <w:pPr>
        <w:jc w:val="both"/>
        <w:rPr>
          <w:rFonts w:cs="Times New Roman"/>
          <w:b/>
          <w:sz w:val="2"/>
          <w:szCs w:val="24"/>
          <w:lang w:val="fr-FR"/>
        </w:rPr>
      </w:pPr>
    </w:p>
    <w:p w:rsidR="00B4464C" w:rsidRPr="003C5B1A" w:rsidRDefault="00B4464C" w:rsidP="00361443">
      <w:pPr>
        <w:pStyle w:val="ListParagraph"/>
        <w:numPr>
          <w:ilvl w:val="0"/>
          <w:numId w:val="9"/>
        </w:numPr>
        <w:spacing w:after="120" w:line="240" w:lineRule="auto"/>
        <w:ind w:left="357" w:hanging="357"/>
        <w:jc w:val="both"/>
        <w:rPr>
          <w:rFonts w:cs="Times New Roman"/>
          <w:b/>
          <w:color w:val="44546A" w:themeColor="text2"/>
          <w:szCs w:val="24"/>
          <w:lang w:val="fr-FR"/>
        </w:rPr>
      </w:pPr>
      <w:r w:rsidRPr="003C5B1A">
        <w:rPr>
          <w:rFonts w:cs="Times New Roman"/>
          <w:b/>
          <w:color w:val="44546A" w:themeColor="text2"/>
          <w:szCs w:val="24"/>
          <w:lang w:val="fr-FR"/>
        </w:rPr>
        <w:t xml:space="preserve">Instances de coordination </w:t>
      </w:r>
      <w:r w:rsidRPr="003C5B1A" w:rsidDel="00972AA1">
        <w:rPr>
          <w:rFonts w:cs="Times New Roman"/>
          <w:b/>
          <w:color w:val="44546A" w:themeColor="text2"/>
          <w:szCs w:val="24"/>
          <w:lang w:val="fr-FR"/>
        </w:rPr>
        <w:t xml:space="preserve"> </w:t>
      </w:r>
    </w:p>
    <w:p w:rsidR="00B4464C" w:rsidRPr="00960999" w:rsidRDefault="00B4464C" w:rsidP="009850DF">
      <w:pPr>
        <w:jc w:val="both"/>
        <w:rPr>
          <w:rFonts w:cs="Times New Roman"/>
          <w:szCs w:val="24"/>
          <w:lang w:val="fr-FR"/>
        </w:rPr>
      </w:pPr>
      <w:r w:rsidRPr="00960999">
        <w:rPr>
          <w:rFonts w:cs="Times New Roman"/>
          <w:szCs w:val="24"/>
          <w:lang w:val="fr-FR"/>
        </w:rPr>
        <w:t xml:space="preserve">L’Etat à travers le ministère de la santé publique assure la coordination de toutes les interventions en matière de planification familiale selon le niveau (national, régional ou district). </w:t>
      </w:r>
    </w:p>
    <w:p w:rsidR="0079228E" w:rsidRDefault="00B4464C" w:rsidP="0079228E">
      <w:pPr>
        <w:jc w:val="both"/>
        <w:rPr>
          <w:rFonts w:cs="Times New Roman"/>
          <w:szCs w:val="24"/>
          <w:lang w:val="fr-FR"/>
        </w:rPr>
      </w:pPr>
      <w:r w:rsidRPr="00960999">
        <w:rPr>
          <w:rFonts w:cs="Times New Roman"/>
          <w:szCs w:val="24"/>
          <w:lang w:val="fr-FR"/>
        </w:rPr>
        <w:lastRenderedPageBreak/>
        <w:t>Le comité de sécurisation des produits en santé de la reproduction assure le pilotage des actions en matière de produits SR. Le comité technique de suivi du plan PF assure la coordination et le suivi trimestriel des actions et des interventions des acteurs. Ce comité est composé de t</w:t>
      </w:r>
      <w:r w:rsidR="0079228E">
        <w:rPr>
          <w:rFonts w:cs="Times New Roman"/>
          <w:szCs w:val="24"/>
          <w:lang w:val="fr-FR"/>
        </w:rPr>
        <w:t xml:space="preserve">rois (3) groupes thématiques : </w:t>
      </w:r>
      <w:r w:rsidRPr="00960999">
        <w:rPr>
          <w:rFonts w:cs="Times New Roman"/>
          <w:szCs w:val="24"/>
          <w:lang w:val="fr-FR"/>
        </w:rPr>
        <w:t>Création de la demande</w:t>
      </w:r>
      <w:r w:rsidR="0079228E">
        <w:rPr>
          <w:rFonts w:cs="Times New Roman"/>
          <w:szCs w:val="24"/>
          <w:lang w:val="fr-FR"/>
        </w:rPr>
        <w:t xml:space="preserve"> ; </w:t>
      </w:r>
      <w:r w:rsidRPr="00960999">
        <w:rPr>
          <w:rFonts w:cs="Times New Roman"/>
          <w:szCs w:val="24"/>
          <w:lang w:val="fr-FR"/>
        </w:rPr>
        <w:t>Offre des services de PF aux ado</w:t>
      </w:r>
      <w:r w:rsidR="001C7C05" w:rsidRPr="00960999">
        <w:rPr>
          <w:rFonts w:cs="Times New Roman"/>
          <w:szCs w:val="24"/>
          <w:lang w:val="fr-FR"/>
        </w:rPr>
        <w:t>lescents</w:t>
      </w:r>
      <w:r w:rsidRPr="00960999">
        <w:rPr>
          <w:rFonts w:cs="Times New Roman"/>
          <w:szCs w:val="24"/>
          <w:lang w:val="fr-FR"/>
        </w:rPr>
        <w:t xml:space="preserve"> &amp; jeunes</w:t>
      </w:r>
      <w:r w:rsidR="0079228E">
        <w:rPr>
          <w:rFonts w:cs="Times New Roman"/>
          <w:szCs w:val="24"/>
          <w:lang w:val="fr-FR"/>
        </w:rPr>
        <w:t xml:space="preserve"> et </w:t>
      </w:r>
      <w:r w:rsidRPr="00960999">
        <w:rPr>
          <w:rFonts w:cs="Times New Roman"/>
          <w:szCs w:val="24"/>
          <w:lang w:val="fr-FR"/>
        </w:rPr>
        <w:t xml:space="preserve">Accès aux services de PF (publique, privé et communautaire). </w:t>
      </w:r>
    </w:p>
    <w:p w:rsidR="0079228E" w:rsidRPr="0079228E" w:rsidRDefault="0079228E" w:rsidP="00540AAA">
      <w:pPr>
        <w:spacing w:after="0" w:line="240" w:lineRule="auto"/>
        <w:jc w:val="both"/>
        <w:rPr>
          <w:rFonts w:cs="Times New Roman"/>
          <w:szCs w:val="24"/>
          <w:lang w:val="fr-FR"/>
        </w:rPr>
      </w:pPr>
      <w:r w:rsidRPr="0079228E">
        <w:rPr>
          <w:rFonts w:cs="Times New Roman"/>
          <w:szCs w:val="24"/>
          <w:lang w:val="fr-FR"/>
        </w:rPr>
        <w:t xml:space="preserve">Le </w:t>
      </w:r>
      <w:r w:rsidRPr="0079228E">
        <w:rPr>
          <w:lang w:val="fr-FR"/>
        </w:rPr>
        <w:t>Ni</w:t>
      </w:r>
      <w:r>
        <w:rPr>
          <w:lang w:val="fr-FR"/>
        </w:rPr>
        <w:t>ger</w:t>
      </w:r>
      <w:r w:rsidRPr="0079228E">
        <w:rPr>
          <w:rFonts w:cs="Times New Roman"/>
          <w:szCs w:val="24"/>
          <w:lang w:val="fr-FR"/>
        </w:rPr>
        <w:t xml:space="preserve"> dispose d’une cartographie des intervenants en matière de PF conduite par l’AFD et qui date de 2016. </w:t>
      </w:r>
    </w:p>
    <w:tbl>
      <w:tblPr>
        <w:tblStyle w:val="TableGrid"/>
        <w:tblpPr w:leftFromText="180" w:rightFromText="180" w:vertAnchor="text" w:horzAnchor="page" w:tblpX="1231" w:tblpY="293"/>
        <w:tblW w:w="0" w:type="auto"/>
        <w:tblLook w:val="04A0" w:firstRow="1" w:lastRow="0" w:firstColumn="1" w:lastColumn="0" w:noHBand="0" w:noVBand="1"/>
      </w:tblPr>
      <w:tblGrid>
        <w:gridCol w:w="9861"/>
      </w:tblGrid>
      <w:tr w:rsidR="006F13E4" w:rsidRPr="00FC1C39" w:rsidTr="00FA343C">
        <w:trPr>
          <w:trHeight w:val="787"/>
        </w:trPr>
        <w:tc>
          <w:tcPr>
            <w:tcW w:w="9861" w:type="dxa"/>
            <w:tcBorders>
              <w:top w:val="single" w:sz="4" w:space="0" w:color="4472C4"/>
              <w:left w:val="single" w:sz="4" w:space="0" w:color="4472C4"/>
              <w:bottom w:val="single" w:sz="4" w:space="0" w:color="4472C4"/>
              <w:right w:val="single" w:sz="4" w:space="0" w:color="4472C4"/>
            </w:tcBorders>
          </w:tcPr>
          <w:p w:rsidR="006F13E4" w:rsidRPr="0079228E" w:rsidRDefault="006F13E4" w:rsidP="00BE5D77">
            <w:pPr>
              <w:jc w:val="both"/>
              <w:rPr>
                <w:rFonts w:cs="Times New Roman"/>
                <w:b/>
                <w:bCs/>
                <w:i/>
                <w:color w:val="4472C4" w:themeColor="accent5"/>
                <w:szCs w:val="24"/>
                <w:lang w:val="fr-FR"/>
              </w:rPr>
            </w:pPr>
            <w:r w:rsidRPr="0079228E">
              <w:rPr>
                <w:rFonts w:cs="Times New Roman"/>
                <w:b/>
                <w:bCs/>
                <w:i/>
                <w:color w:val="4472C4" w:themeColor="accent5"/>
                <w:szCs w:val="24"/>
                <w:lang w:val="fr-FR"/>
              </w:rPr>
              <w:t>Encadre 9</w:t>
            </w:r>
            <w:r w:rsidR="00FA343C" w:rsidRPr="0079228E">
              <w:rPr>
                <w:rFonts w:cs="Times New Roman"/>
                <w:b/>
                <w:bCs/>
                <w:i/>
                <w:color w:val="4472C4" w:themeColor="accent5"/>
                <w:szCs w:val="24"/>
                <w:lang w:val="fr-FR"/>
              </w:rPr>
              <w:t xml:space="preserve"> : </w:t>
            </w:r>
            <w:r w:rsidR="003964BA" w:rsidRPr="0079228E">
              <w:rPr>
                <w:rFonts w:cs="Times New Roman"/>
                <w:b/>
                <w:bCs/>
                <w:i/>
                <w:color w:val="4472C4" w:themeColor="accent5"/>
                <w:szCs w:val="24"/>
                <w:lang w:val="fr-FR"/>
              </w:rPr>
              <w:t>rôles</w:t>
            </w:r>
            <w:r w:rsidR="00FA343C" w:rsidRPr="0079228E">
              <w:rPr>
                <w:rFonts w:cs="Times New Roman"/>
                <w:b/>
                <w:bCs/>
                <w:i/>
                <w:color w:val="4472C4" w:themeColor="accent5"/>
                <w:szCs w:val="24"/>
                <w:lang w:val="fr-FR"/>
              </w:rPr>
              <w:t xml:space="preserve"> du </w:t>
            </w:r>
            <w:r w:rsidR="009A3DF5" w:rsidRPr="0079228E">
              <w:rPr>
                <w:rFonts w:cs="Times New Roman"/>
                <w:b/>
                <w:bCs/>
                <w:i/>
                <w:color w:val="4472C4" w:themeColor="accent5"/>
                <w:szCs w:val="24"/>
                <w:lang w:val="fr-FR"/>
              </w:rPr>
              <w:t>comité</w:t>
            </w:r>
            <w:r w:rsidR="00FA343C" w:rsidRPr="0079228E">
              <w:rPr>
                <w:rFonts w:cs="Times New Roman"/>
                <w:b/>
                <w:bCs/>
                <w:i/>
                <w:color w:val="4472C4" w:themeColor="accent5"/>
                <w:szCs w:val="24"/>
                <w:lang w:val="fr-FR"/>
              </w:rPr>
              <w:t xml:space="preserve"> </w:t>
            </w:r>
            <w:r w:rsidR="003964BA" w:rsidRPr="0079228E">
              <w:rPr>
                <w:rFonts w:cs="Times New Roman"/>
                <w:b/>
                <w:bCs/>
                <w:i/>
                <w:color w:val="4472C4" w:themeColor="accent5"/>
                <w:szCs w:val="24"/>
                <w:lang w:val="fr-FR"/>
              </w:rPr>
              <w:t xml:space="preserve">de coordination </w:t>
            </w:r>
            <w:r w:rsidR="00FA343C" w:rsidRPr="0079228E">
              <w:rPr>
                <w:rFonts w:cs="Times New Roman"/>
                <w:b/>
                <w:bCs/>
                <w:i/>
                <w:color w:val="4472C4" w:themeColor="accent5"/>
                <w:szCs w:val="24"/>
                <w:lang w:val="fr-FR"/>
              </w:rPr>
              <w:t>charge de l’</w:t>
            </w:r>
            <w:r w:rsidR="003964BA" w:rsidRPr="0079228E">
              <w:rPr>
                <w:rFonts w:cs="Times New Roman"/>
                <w:b/>
                <w:bCs/>
                <w:i/>
                <w:color w:val="4472C4" w:themeColor="accent5"/>
                <w:szCs w:val="24"/>
                <w:lang w:val="fr-FR"/>
              </w:rPr>
              <w:t>accès aux services PF</w:t>
            </w:r>
            <w:r w:rsidR="00FA343C" w:rsidRPr="0079228E">
              <w:rPr>
                <w:rFonts w:cs="Times New Roman"/>
                <w:b/>
                <w:bCs/>
                <w:i/>
                <w:color w:val="4472C4" w:themeColor="accent5"/>
                <w:szCs w:val="24"/>
                <w:lang w:val="fr-FR"/>
              </w:rPr>
              <w:t xml:space="preserve"> </w:t>
            </w:r>
          </w:p>
          <w:p w:rsidR="006F13E4" w:rsidRPr="0079228E" w:rsidRDefault="00AB7710" w:rsidP="006F13E4">
            <w:pPr>
              <w:jc w:val="both"/>
              <w:rPr>
                <w:rFonts w:cs="Times New Roman"/>
                <w:i/>
                <w:szCs w:val="24"/>
                <w:lang w:val="fr-FR"/>
              </w:rPr>
            </w:pPr>
            <w:r w:rsidRPr="0079228E">
              <w:rPr>
                <w:rFonts w:cs="Times New Roman"/>
                <w:i/>
                <w:szCs w:val="24"/>
                <w:lang w:val="fr-FR"/>
              </w:rPr>
              <w:t xml:space="preserve">L’Accès aux services de PF (publique, privé et communautaire) </w:t>
            </w:r>
            <w:r w:rsidR="006F13E4" w:rsidRPr="0079228E">
              <w:rPr>
                <w:rFonts w:cs="Times New Roman"/>
                <w:i/>
                <w:szCs w:val="24"/>
                <w:lang w:val="fr-FR"/>
              </w:rPr>
              <w:t xml:space="preserve">est chargé de la quantification des produits contraceptifs, du suivi des activités relatives à l’accès aux services PF, de l’identification des bonnes pratiques en matière de PF. Il est le cadre adéquat pour les questions relatives au DMPA-SC. </w:t>
            </w:r>
          </w:p>
          <w:p w:rsidR="006F13E4" w:rsidRPr="0079228E" w:rsidRDefault="006F13E4" w:rsidP="00BE5D77">
            <w:pPr>
              <w:jc w:val="both"/>
              <w:rPr>
                <w:rFonts w:cs="Times New Roman"/>
                <w:i/>
                <w:szCs w:val="24"/>
                <w:lang w:val="fr-FR"/>
              </w:rPr>
            </w:pPr>
            <w:r w:rsidRPr="0079228E">
              <w:rPr>
                <w:rFonts w:cs="Times New Roman"/>
                <w:i/>
                <w:szCs w:val="24"/>
                <w:lang w:val="fr-FR"/>
              </w:rPr>
              <w:t>Présentement, deux régions (Zinder et Dosso) disposent de comité technique de suivi du plan PF et deux autres régions sont en per</w:t>
            </w:r>
            <w:r w:rsidR="0079228E" w:rsidRPr="0079228E">
              <w:rPr>
                <w:rFonts w:cs="Times New Roman"/>
                <w:i/>
                <w:szCs w:val="24"/>
                <w:lang w:val="fr-FR"/>
              </w:rPr>
              <w:t xml:space="preserve">spectives (Tahoua et Niamey).  </w:t>
            </w:r>
          </w:p>
        </w:tc>
      </w:tr>
    </w:tbl>
    <w:p w:rsidR="00D225D3" w:rsidRPr="007E0B3C" w:rsidRDefault="00D225D3" w:rsidP="0079228E">
      <w:pPr>
        <w:pStyle w:val="JhpChapterTitlect"/>
        <w:rPr>
          <w:sz w:val="28"/>
          <w:lang w:val="fr-FR"/>
        </w:rPr>
      </w:pPr>
      <w:bookmarkStart w:id="144" w:name="_Toc3385420"/>
      <w:bookmarkStart w:id="145" w:name="_Toc3996457"/>
      <w:bookmarkStart w:id="146" w:name="_Toc19105283"/>
      <w:bookmarkEnd w:id="144"/>
    </w:p>
    <w:p w:rsidR="00B4464C" w:rsidRPr="001D693D" w:rsidRDefault="00B4464C" w:rsidP="001D693D">
      <w:pPr>
        <w:pStyle w:val="JhpChapterTitlect"/>
        <w:rPr>
          <w:iCs/>
          <w:lang w:val="fr-FR"/>
        </w:rPr>
      </w:pPr>
      <w:bookmarkStart w:id="147" w:name="_Toc19203085"/>
      <w:r w:rsidRPr="001D693D">
        <w:rPr>
          <w:iCs/>
          <w:lang w:val="fr-FR"/>
        </w:rPr>
        <w:t>Défi</w:t>
      </w:r>
      <w:r w:rsidR="00C77A4E" w:rsidRPr="001D693D">
        <w:rPr>
          <w:iCs/>
          <w:lang w:val="fr-FR"/>
        </w:rPr>
        <w:t>s en matière d’adoption du DMPA</w:t>
      </w:r>
      <w:r w:rsidRPr="001D693D">
        <w:rPr>
          <w:iCs/>
          <w:lang w:val="fr-FR"/>
        </w:rPr>
        <w:t xml:space="preserve">-SC </w:t>
      </w:r>
      <w:bookmarkEnd w:id="145"/>
      <w:bookmarkEnd w:id="146"/>
      <w:r w:rsidR="00C77A4E" w:rsidRPr="001D693D">
        <w:rPr>
          <w:iCs/>
          <w:lang w:val="fr-FR"/>
        </w:rPr>
        <w:t>au Niger</w:t>
      </w:r>
      <w:bookmarkEnd w:id="147"/>
      <w:r w:rsidRPr="001D693D">
        <w:rPr>
          <w:iCs/>
          <w:lang w:val="fr-FR"/>
        </w:rPr>
        <w:t xml:space="preserve"> </w:t>
      </w:r>
    </w:p>
    <w:p w:rsidR="00B4464C" w:rsidRPr="007D7E4E" w:rsidRDefault="00B4464C" w:rsidP="009850DF">
      <w:pPr>
        <w:jc w:val="both"/>
        <w:rPr>
          <w:rFonts w:cs="Times New Roman"/>
          <w:lang w:val="fr-FR"/>
        </w:rPr>
      </w:pPr>
      <w:r w:rsidRPr="007D7E4E">
        <w:rPr>
          <w:rFonts w:cs="Times New Roman"/>
          <w:lang w:val="fr-FR"/>
        </w:rPr>
        <w:t xml:space="preserve">L’environnement socio-culturel au Niger est en général favorable à la PF. Aussi, la phase pilote et la mise en œuvre du plan de PAGE du DMPA-SC n’a pas relevé une quelconque hostilité des populations au produit. </w:t>
      </w:r>
    </w:p>
    <w:p w:rsidR="00AB7710" w:rsidRPr="007D7E4E" w:rsidRDefault="00B4464C" w:rsidP="009850DF">
      <w:pPr>
        <w:jc w:val="both"/>
        <w:rPr>
          <w:rFonts w:cs="Times New Roman"/>
          <w:lang w:val="fr-FR"/>
        </w:rPr>
      </w:pPr>
      <w:r w:rsidRPr="007D7E4E">
        <w:rPr>
          <w:rFonts w:cs="Times New Roman"/>
          <w:lang w:val="fr-FR"/>
        </w:rPr>
        <w:t xml:space="preserve">Néanmoins, pour que le Niger ne soit pas en retard par rapport aux autres pays du PO, il est impératif d’accélérer le processus d’adoption des nouveaux textes sur la délégation des tâches (passage à grande échelle au niveau communautaire) mais aussi accepte l’introduction du produit au niveau de la pyramide sanitaire. </w:t>
      </w:r>
    </w:p>
    <w:tbl>
      <w:tblPr>
        <w:tblStyle w:val="TableGrid"/>
        <w:tblpPr w:leftFromText="180" w:rightFromText="180" w:vertAnchor="text" w:horzAnchor="page" w:tblpX="1231" w:tblpY="293"/>
        <w:tblW w:w="0" w:type="auto"/>
        <w:tblLook w:val="04A0" w:firstRow="1" w:lastRow="0" w:firstColumn="1" w:lastColumn="0" w:noHBand="0" w:noVBand="1"/>
      </w:tblPr>
      <w:tblGrid>
        <w:gridCol w:w="9861"/>
      </w:tblGrid>
      <w:tr w:rsidR="00AB7710" w:rsidRPr="00A5720B" w:rsidTr="0079228E">
        <w:trPr>
          <w:trHeight w:val="2688"/>
        </w:trPr>
        <w:tc>
          <w:tcPr>
            <w:tcW w:w="9861" w:type="dxa"/>
            <w:tcBorders>
              <w:top w:val="single" w:sz="4" w:space="0" w:color="4472C4"/>
              <w:left w:val="single" w:sz="4" w:space="0" w:color="4472C4"/>
              <w:bottom w:val="single" w:sz="4" w:space="0" w:color="4472C4"/>
              <w:right w:val="single" w:sz="4" w:space="0" w:color="4472C4"/>
            </w:tcBorders>
          </w:tcPr>
          <w:p w:rsidR="00AB7710" w:rsidRPr="00540AAA" w:rsidRDefault="00AB7710" w:rsidP="00BE5D77">
            <w:pPr>
              <w:jc w:val="both"/>
              <w:rPr>
                <w:rFonts w:cs="Times New Roman"/>
                <w:b/>
                <w:bCs/>
                <w:i/>
                <w:color w:val="4472C4" w:themeColor="accent5"/>
                <w:szCs w:val="24"/>
                <w:lang w:val="fr-FR"/>
              </w:rPr>
            </w:pPr>
            <w:r w:rsidRPr="00540AAA">
              <w:rPr>
                <w:rFonts w:cs="Times New Roman"/>
                <w:b/>
                <w:bCs/>
                <w:i/>
                <w:color w:val="4472C4" w:themeColor="accent5"/>
                <w:szCs w:val="24"/>
                <w:lang w:val="fr-FR"/>
              </w:rPr>
              <w:t>Encadre 10</w:t>
            </w:r>
            <w:r w:rsidR="00FA343C" w:rsidRPr="00540AAA">
              <w:rPr>
                <w:rFonts w:cs="Times New Roman"/>
                <w:b/>
                <w:bCs/>
                <w:i/>
                <w:color w:val="4472C4" w:themeColor="accent5"/>
                <w:szCs w:val="24"/>
                <w:lang w:val="fr-FR"/>
              </w:rPr>
              <w:t> : Défis en matière d’adoption du DMPA -SC dans le pays</w:t>
            </w:r>
          </w:p>
          <w:p w:rsidR="00AB7710" w:rsidRPr="00540AAA" w:rsidRDefault="00AB7710" w:rsidP="00AB7710">
            <w:pPr>
              <w:jc w:val="both"/>
              <w:rPr>
                <w:rFonts w:cs="Times New Roman"/>
                <w:i/>
                <w:szCs w:val="24"/>
                <w:lang w:val="fr-FR"/>
              </w:rPr>
            </w:pPr>
            <w:r w:rsidRPr="00540AAA">
              <w:rPr>
                <w:rFonts w:cs="Times New Roman"/>
                <w:i/>
                <w:szCs w:val="24"/>
                <w:lang w:val="fr-FR"/>
              </w:rPr>
              <w:t xml:space="preserve">Les défis spécifiques en </w:t>
            </w:r>
            <w:proofErr w:type="spellStart"/>
            <w:r w:rsidRPr="00540AAA">
              <w:rPr>
                <w:rFonts w:cs="Times New Roman"/>
                <w:i/>
                <w:szCs w:val="24"/>
                <w:lang w:val="fr-FR"/>
              </w:rPr>
              <w:t>matiere</w:t>
            </w:r>
            <w:proofErr w:type="spellEnd"/>
            <w:r w:rsidRPr="00540AAA">
              <w:rPr>
                <w:rFonts w:cs="Times New Roman"/>
                <w:i/>
                <w:szCs w:val="24"/>
                <w:lang w:val="fr-FR"/>
              </w:rPr>
              <w:t xml:space="preserve"> d’adoption du DMPA-SC sont les suivants : </w:t>
            </w:r>
          </w:p>
          <w:p w:rsidR="00AB7710" w:rsidRPr="00540AAA" w:rsidRDefault="00AB7710" w:rsidP="00361443">
            <w:pPr>
              <w:numPr>
                <w:ilvl w:val="0"/>
                <w:numId w:val="16"/>
              </w:numPr>
              <w:spacing w:line="276" w:lineRule="auto"/>
              <w:jc w:val="both"/>
              <w:rPr>
                <w:rFonts w:cs="Times New Roman"/>
                <w:i/>
                <w:szCs w:val="24"/>
                <w:lang w:val="fr-FR"/>
              </w:rPr>
            </w:pPr>
            <w:r w:rsidRPr="00540AAA">
              <w:rPr>
                <w:rFonts w:cs="Times New Roman"/>
                <w:i/>
                <w:szCs w:val="24"/>
                <w:lang w:val="fr-FR"/>
              </w:rPr>
              <w:t>La disponibilité d’un plan de passage à l’échelle prenant en compte toutes les attentes en matière du DMPA-SC ;</w:t>
            </w:r>
          </w:p>
          <w:p w:rsidR="00AB7710" w:rsidRPr="00540AAA" w:rsidRDefault="00AB7710" w:rsidP="00361443">
            <w:pPr>
              <w:numPr>
                <w:ilvl w:val="0"/>
                <w:numId w:val="16"/>
              </w:numPr>
              <w:spacing w:line="276" w:lineRule="auto"/>
              <w:jc w:val="both"/>
              <w:rPr>
                <w:rFonts w:cs="Times New Roman"/>
                <w:i/>
                <w:szCs w:val="24"/>
                <w:lang w:val="fr-FR"/>
              </w:rPr>
            </w:pPr>
            <w:r w:rsidRPr="00540AAA">
              <w:rPr>
                <w:rFonts w:cs="Times New Roman"/>
                <w:i/>
                <w:szCs w:val="24"/>
                <w:lang w:val="fr-FR"/>
              </w:rPr>
              <w:t>L’introduction du DMPA-SC au niveau du reste de la pyramide sanitaire ;</w:t>
            </w:r>
          </w:p>
          <w:p w:rsidR="00AB7710" w:rsidRPr="00540AAA" w:rsidRDefault="00AB7710" w:rsidP="00361443">
            <w:pPr>
              <w:numPr>
                <w:ilvl w:val="0"/>
                <w:numId w:val="16"/>
              </w:numPr>
              <w:spacing w:line="276" w:lineRule="auto"/>
              <w:jc w:val="both"/>
              <w:rPr>
                <w:rFonts w:cs="Times New Roman"/>
                <w:i/>
                <w:szCs w:val="24"/>
                <w:lang w:val="fr-FR"/>
              </w:rPr>
            </w:pPr>
            <w:r w:rsidRPr="00540AAA">
              <w:rPr>
                <w:rFonts w:cs="Times New Roman"/>
                <w:i/>
                <w:szCs w:val="24"/>
                <w:lang w:val="fr-FR"/>
              </w:rPr>
              <w:t xml:space="preserve">Identifier des activités catalytiques pour booster l’utilisation du DMPA-SC qui est en surstock et dont </w:t>
            </w:r>
            <w:r w:rsidR="00F56D3A">
              <w:rPr>
                <w:rFonts w:cs="Times New Roman"/>
                <w:i/>
                <w:szCs w:val="24"/>
                <w:lang w:val="fr-FR"/>
              </w:rPr>
              <w:t xml:space="preserve">la péremption est proche </w:t>
            </w:r>
            <w:r w:rsidRPr="00540AAA">
              <w:rPr>
                <w:rFonts w:cs="Times New Roman"/>
                <w:i/>
                <w:szCs w:val="24"/>
                <w:lang w:val="fr-FR"/>
              </w:rPr>
              <w:t>;</w:t>
            </w:r>
          </w:p>
          <w:p w:rsidR="00AB7710" w:rsidRPr="00540AAA" w:rsidRDefault="00AB7710" w:rsidP="00361443">
            <w:pPr>
              <w:numPr>
                <w:ilvl w:val="0"/>
                <w:numId w:val="16"/>
              </w:numPr>
              <w:spacing w:line="276" w:lineRule="auto"/>
              <w:jc w:val="both"/>
              <w:rPr>
                <w:rFonts w:cs="Times New Roman"/>
                <w:i/>
                <w:szCs w:val="24"/>
                <w:lang w:val="fr-FR"/>
              </w:rPr>
            </w:pPr>
            <w:r w:rsidRPr="00540AAA">
              <w:rPr>
                <w:rFonts w:cs="Times New Roman"/>
                <w:i/>
                <w:szCs w:val="24"/>
                <w:lang w:val="fr-FR"/>
              </w:rPr>
              <w:t>L’autorisation aux personnels pharmacies et officines privées l’administration du DMPA-SC ;</w:t>
            </w:r>
          </w:p>
          <w:p w:rsidR="00AB7710" w:rsidRPr="00540AAA" w:rsidRDefault="00AB7710" w:rsidP="00361443">
            <w:pPr>
              <w:numPr>
                <w:ilvl w:val="0"/>
                <w:numId w:val="16"/>
              </w:numPr>
              <w:spacing w:line="276" w:lineRule="auto"/>
              <w:jc w:val="both"/>
              <w:rPr>
                <w:rFonts w:cs="Times New Roman"/>
                <w:i/>
                <w:szCs w:val="24"/>
                <w:lang w:val="fr-FR"/>
              </w:rPr>
            </w:pPr>
            <w:r w:rsidRPr="00540AAA">
              <w:rPr>
                <w:rFonts w:cs="Times New Roman"/>
                <w:i/>
                <w:szCs w:val="24"/>
                <w:lang w:val="fr-FR"/>
              </w:rPr>
              <w:t>L’autorisation de l’</w:t>
            </w:r>
            <w:proofErr w:type="spellStart"/>
            <w:r w:rsidRPr="00540AAA">
              <w:rPr>
                <w:rFonts w:cs="Times New Roman"/>
                <w:i/>
                <w:szCs w:val="24"/>
                <w:lang w:val="fr-FR"/>
              </w:rPr>
              <w:t>auto-injection</w:t>
            </w:r>
            <w:proofErr w:type="spellEnd"/>
            <w:r w:rsidRPr="00540AAA">
              <w:rPr>
                <w:rFonts w:cs="Times New Roman"/>
                <w:i/>
                <w:szCs w:val="24"/>
                <w:lang w:val="fr-FR"/>
              </w:rPr>
              <w:t>.</w:t>
            </w:r>
          </w:p>
          <w:p w:rsidR="00AB7710" w:rsidRPr="00A5720B" w:rsidRDefault="00AB7710" w:rsidP="00BE5D77">
            <w:pPr>
              <w:jc w:val="both"/>
              <w:rPr>
                <w:rFonts w:cs="Times New Roman"/>
                <w:i/>
                <w:sz w:val="24"/>
                <w:szCs w:val="24"/>
                <w:lang w:val="fr-FR"/>
              </w:rPr>
            </w:pPr>
          </w:p>
        </w:tc>
      </w:tr>
    </w:tbl>
    <w:p w:rsidR="00AB7710" w:rsidRPr="00A5720B" w:rsidRDefault="00AB7710" w:rsidP="009850DF">
      <w:pPr>
        <w:jc w:val="both"/>
        <w:rPr>
          <w:rFonts w:cs="Times New Roman"/>
          <w:sz w:val="24"/>
          <w:szCs w:val="24"/>
          <w:lang w:val="fr-FR"/>
        </w:rPr>
      </w:pPr>
    </w:p>
    <w:p w:rsidR="009A3DF5" w:rsidRPr="00A5720B" w:rsidRDefault="009A3DF5" w:rsidP="00D06818">
      <w:pPr>
        <w:ind w:left="720"/>
        <w:jc w:val="both"/>
        <w:rPr>
          <w:rFonts w:cs="Times New Roman"/>
          <w:sz w:val="24"/>
          <w:szCs w:val="24"/>
          <w:lang w:val="fr-FR"/>
        </w:rPr>
      </w:pPr>
    </w:p>
    <w:p w:rsidR="00BE5D77" w:rsidRPr="00A5720B" w:rsidRDefault="00BE5D77" w:rsidP="00D06818">
      <w:pPr>
        <w:ind w:left="720"/>
        <w:jc w:val="both"/>
        <w:rPr>
          <w:rFonts w:cs="Times New Roman"/>
          <w:sz w:val="24"/>
          <w:szCs w:val="24"/>
          <w:lang w:val="fr-FR"/>
        </w:rPr>
      </w:pPr>
    </w:p>
    <w:p w:rsidR="00BE5D77" w:rsidRPr="00A5720B" w:rsidRDefault="00BE5D77" w:rsidP="00D06818">
      <w:pPr>
        <w:ind w:left="720"/>
        <w:jc w:val="both"/>
        <w:rPr>
          <w:rFonts w:cs="Times New Roman"/>
          <w:sz w:val="24"/>
          <w:szCs w:val="24"/>
          <w:lang w:val="fr-FR"/>
        </w:rPr>
      </w:pPr>
    </w:p>
    <w:p w:rsidR="00BE5D77" w:rsidRPr="00A5720B" w:rsidRDefault="00BE5D77" w:rsidP="00D06818">
      <w:pPr>
        <w:ind w:left="720"/>
        <w:jc w:val="both"/>
        <w:rPr>
          <w:rFonts w:cs="Times New Roman"/>
          <w:sz w:val="24"/>
          <w:szCs w:val="24"/>
          <w:lang w:val="fr-FR"/>
        </w:rPr>
      </w:pPr>
    </w:p>
    <w:p w:rsidR="003C5B1A" w:rsidRPr="007E0B3C" w:rsidRDefault="003C5B1A" w:rsidP="0079228E">
      <w:pPr>
        <w:pStyle w:val="JhpChapterTitlect"/>
        <w:rPr>
          <w:lang w:val="fr-FR"/>
        </w:rPr>
      </w:pPr>
      <w:bookmarkStart w:id="148" w:name="_Toc19103561"/>
      <w:bookmarkStart w:id="149" w:name="_Toc19105214"/>
      <w:bookmarkStart w:id="150" w:name="_Toc19105231"/>
      <w:bookmarkStart w:id="151" w:name="_Toc19105248"/>
      <w:bookmarkStart w:id="152" w:name="_Toc19105267"/>
      <w:bookmarkStart w:id="153" w:name="_Toc19105284"/>
      <w:bookmarkStart w:id="154" w:name="_Toc19105301"/>
      <w:bookmarkStart w:id="155" w:name="_Toc19105321"/>
      <w:bookmarkStart w:id="156" w:name="_Toc19105454"/>
      <w:bookmarkStart w:id="157" w:name="_Toc19105680"/>
      <w:bookmarkStart w:id="158" w:name="_Toc19106105"/>
      <w:bookmarkStart w:id="159" w:name="_Toc19106361"/>
      <w:bookmarkStart w:id="160" w:name="_Toc19106537"/>
      <w:bookmarkStart w:id="161" w:name="_Toc3385422"/>
      <w:bookmarkStart w:id="162" w:name="_Toc3385423"/>
      <w:bookmarkStart w:id="163" w:name="_Toc3385424"/>
      <w:bookmarkStart w:id="164" w:name="_Toc3385425"/>
      <w:bookmarkStart w:id="165" w:name="_Toc3996458"/>
      <w:bookmarkStart w:id="166" w:name="_Toc1910528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lang w:val="fr-FR"/>
        </w:rPr>
        <w:br w:type="page"/>
      </w:r>
    </w:p>
    <w:p w:rsidR="00BE5D77" w:rsidRPr="006C0B83" w:rsidRDefault="00540AAA" w:rsidP="006C0B83">
      <w:pPr>
        <w:pStyle w:val="JhpChapterTitlect"/>
        <w:rPr>
          <w:bCs/>
          <w:lang w:val="fr-FR"/>
        </w:rPr>
      </w:pPr>
      <w:bookmarkStart w:id="167" w:name="_Toc19203086"/>
      <w:r w:rsidRPr="00177290">
        <w:rPr>
          <w:bCs/>
          <w:iCs/>
          <w:lang w:val="fr-FR"/>
        </w:rPr>
        <w:lastRenderedPageBreak/>
        <w:t>R</w:t>
      </w:r>
      <w:bookmarkStart w:id="168" w:name="_GoBack"/>
      <w:bookmarkEnd w:id="168"/>
      <w:r w:rsidRPr="00177290">
        <w:rPr>
          <w:bCs/>
          <w:iCs/>
          <w:lang w:val="fr-FR"/>
        </w:rPr>
        <w:t>ecommandations et</w:t>
      </w:r>
      <w:r w:rsidR="00457B3D" w:rsidRPr="00177290">
        <w:rPr>
          <w:bCs/>
          <w:iCs/>
          <w:lang w:val="fr-FR"/>
        </w:rPr>
        <w:t xml:space="preserve"> actions </w:t>
      </w:r>
      <w:r w:rsidR="00B4464C" w:rsidRPr="00177290">
        <w:rPr>
          <w:bCs/>
          <w:iCs/>
          <w:lang w:val="fr-FR"/>
        </w:rPr>
        <w:t>prioritaires</w:t>
      </w:r>
      <w:bookmarkEnd w:id="165"/>
      <w:bookmarkEnd w:id="166"/>
      <w:r w:rsidR="00457B3D" w:rsidRPr="00177290">
        <w:rPr>
          <w:bCs/>
          <w:iCs/>
          <w:lang w:val="fr-FR"/>
        </w:rPr>
        <w:t xml:space="preserve"> pour le Niger</w:t>
      </w:r>
      <w:bookmarkEnd w:id="167"/>
    </w:p>
    <w:p w:rsidR="00BE5D77" w:rsidRPr="007D7E4E" w:rsidRDefault="00B4464C" w:rsidP="00D06818">
      <w:pPr>
        <w:spacing w:after="0"/>
        <w:jc w:val="both"/>
        <w:rPr>
          <w:rFonts w:cs="Times New Roman"/>
          <w:lang w:val="fr-FR"/>
        </w:rPr>
      </w:pPr>
      <w:r w:rsidRPr="007D7E4E">
        <w:rPr>
          <w:rFonts w:cs="Times New Roman"/>
          <w:lang w:val="fr-FR"/>
        </w:rPr>
        <w:t>Les actions prioritaires sont de plusieurs ordres : l’amélioration de l’environnement habilitant, les activités de coordination, les activités éligibles aux fonds catalytiques.</w:t>
      </w:r>
    </w:p>
    <w:p w:rsidR="00BE5D77" w:rsidRPr="003C5B1A" w:rsidRDefault="00BE5D77" w:rsidP="00D06818">
      <w:pPr>
        <w:spacing w:after="0"/>
        <w:jc w:val="both"/>
        <w:rPr>
          <w:rFonts w:cs="Times New Roman"/>
          <w:sz w:val="14"/>
          <w:szCs w:val="24"/>
          <w:lang w:val="fr-FR"/>
        </w:rPr>
      </w:pPr>
    </w:p>
    <w:p w:rsidR="00B4464C" w:rsidRPr="003C5B1A" w:rsidRDefault="00B4464C" w:rsidP="00361443">
      <w:pPr>
        <w:pStyle w:val="ListParagraph"/>
        <w:numPr>
          <w:ilvl w:val="0"/>
          <w:numId w:val="11"/>
        </w:numPr>
        <w:spacing w:after="120" w:line="240" w:lineRule="auto"/>
        <w:jc w:val="both"/>
        <w:rPr>
          <w:rFonts w:cs="Times New Roman"/>
          <w:b/>
          <w:color w:val="44546A" w:themeColor="text2"/>
          <w:szCs w:val="24"/>
          <w:lang w:val="fr-FR"/>
        </w:rPr>
      </w:pPr>
      <w:r w:rsidRPr="003C5B1A">
        <w:rPr>
          <w:rFonts w:cs="Times New Roman"/>
          <w:b/>
          <w:color w:val="44546A" w:themeColor="text2"/>
          <w:szCs w:val="24"/>
          <w:lang w:val="fr-FR"/>
        </w:rPr>
        <w:t xml:space="preserve">Amélioration de l’environnement (Activités de Plaidoyer) </w:t>
      </w:r>
    </w:p>
    <w:p w:rsidR="00BE5D77" w:rsidRPr="003C5B1A" w:rsidRDefault="00BE5D77" w:rsidP="00361443">
      <w:pPr>
        <w:numPr>
          <w:ilvl w:val="0"/>
          <w:numId w:val="12"/>
        </w:numPr>
        <w:spacing w:after="120" w:line="240" w:lineRule="auto"/>
        <w:ind w:left="357" w:hanging="357"/>
        <w:jc w:val="both"/>
        <w:rPr>
          <w:rFonts w:cs="Times New Roman"/>
          <w:szCs w:val="24"/>
          <w:lang w:val="fr-FR"/>
        </w:rPr>
      </w:pPr>
      <w:r w:rsidRPr="003C5B1A">
        <w:rPr>
          <w:rFonts w:cs="Times New Roman"/>
          <w:szCs w:val="24"/>
          <w:lang w:val="fr-FR"/>
        </w:rPr>
        <w:t xml:space="preserve">Le ministère de la santé publique doit </w:t>
      </w:r>
      <w:r w:rsidR="00457B3D" w:rsidRPr="003C5B1A">
        <w:rPr>
          <w:rFonts w:cs="Times New Roman"/>
          <w:szCs w:val="24"/>
          <w:lang w:val="fr-FR"/>
        </w:rPr>
        <w:t xml:space="preserve">impérativement </w:t>
      </w:r>
      <w:r w:rsidRPr="003C5B1A">
        <w:rPr>
          <w:rFonts w:cs="Times New Roman"/>
          <w:szCs w:val="24"/>
          <w:lang w:val="fr-FR"/>
        </w:rPr>
        <w:t xml:space="preserve">prendre une circulaire </w:t>
      </w:r>
      <w:r w:rsidR="00457B3D" w:rsidRPr="003C5B1A">
        <w:rPr>
          <w:rFonts w:cs="Times New Roman"/>
          <w:szCs w:val="24"/>
          <w:lang w:val="fr-FR"/>
        </w:rPr>
        <w:t>autorisant</w:t>
      </w:r>
      <w:r w:rsidRPr="003C5B1A">
        <w:rPr>
          <w:rFonts w:cs="Times New Roman"/>
          <w:szCs w:val="24"/>
          <w:lang w:val="fr-FR"/>
        </w:rPr>
        <w:t xml:space="preserve"> l’offre du DMPA-SC dans l’ensemble de formations sanitaires de la pyramide sanitaire du Niger</w:t>
      </w:r>
      <w:r w:rsidR="007D0B0A" w:rsidRPr="003C5B1A">
        <w:rPr>
          <w:rFonts w:cs="Times New Roman"/>
          <w:szCs w:val="24"/>
          <w:lang w:val="fr-FR"/>
        </w:rPr>
        <w:t>.</w:t>
      </w:r>
    </w:p>
    <w:p w:rsidR="00B4464C" w:rsidRPr="003C5B1A" w:rsidRDefault="00BE5D77" w:rsidP="00361443">
      <w:pPr>
        <w:numPr>
          <w:ilvl w:val="0"/>
          <w:numId w:val="12"/>
        </w:numPr>
        <w:spacing w:after="120" w:line="240" w:lineRule="auto"/>
        <w:ind w:left="357" w:hanging="357"/>
        <w:jc w:val="both"/>
        <w:rPr>
          <w:rFonts w:cs="Times New Roman"/>
          <w:szCs w:val="24"/>
          <w:lang w:val="fr-FR"/>
        </w:rPr>
      </w:pPr>
      <w:r w:rsidRPr="003C5B1A">
        <w:rPr>
          <w:rFonts w:cs="Times New Roman"/>
          <w:szCs w:val="24"/>
          <w:lang w:val="fr-FR"/>
        </w:rPr>
        <w:t xml:space="preserve">Le </w:t>
      </w:r>
      <w:r w:rsidR="00B4464C" w:rsidRPr="003C5B1A">
        <w:rPr>
          <w:rFonts w:cs="Times New Roman"/>
          <w:szCs w:val="24"/>
          <w:lang w:val="fr-FR"/>
        </w:rPr>
        <w:t>minist</w:t>
      </w:r>
      <w:r w:rsidRPr="003C5B1A">
        <w:rPr>
          <w:rFonts w:cs="Times New Roman"/>
          <w:szCs w:val="24"/>
          <w:lang w:val="fr-FR"/>
        </w:rPr>
        <w:t>ère</w:t>
      </w:r>
      <w:r w:rsidR="00B4464C" w:rsidRPr="003C5B1A">
        <w:rPr>
          <w:rFonts w:cs="Times New Roman"/>
          <w:szCs w:val="24"/>
          <w:lang w:val="fr-FR"/>
        </w:rPr>
        <w:t xml:space="preserve"> de la santé publique </w:t>
      </w:r>
      <w:r w:rsidRPr="003C5B1A">
        <w:rPr>
          <w:rFonts w:cs="Times New Roman"/>
          <w:szCs w:val="24"/>
          <w:lang w:val="fr-FR"/>
        </w:rPr>
        <w:t xml:space="preserve">doit prendre </w:t>
      </w:r>
      <w:r w:rsidR="00B4464C" w:rsidRPr="003C5B1A">
        <w:rPr>
          <w:rFonts w:cs="Times New Roman"/>
          <w:szCs w:val="24"/>
          <w:lang w:val="fr-FR"/>
        </w:rPr>
        <w:t>un arrêté autorisant le</w:t>
      </w:r>
      <w:r w:rsidRPr="003C5B1A">
        <w:rPr>
          <w:rFonts w:cs="Times New Roman"/>
          <w:szCs w:val="24"/>
          <w:lang w:val="fr-FR"/>
        </w:rPr>
        <w:t xml:space="preserve">s </w:t>
      </w:r>
      <w:r w:rsidR="007D0B0A" w:rsidRPr="003C5B1A">
        <w:rPr>
          <w:rFonts w:cs="Times New Roman"/>
          <w:szCs w:val="24"/>
          <w:lang w:val="fr-FR"/>
        </w:rPr>
        <w:t xml:space="preserve">agents et </w:t>
      </w:r>
      <w:r w:rsidRPr="003C5B1A">
        <w:rPr>
          <w:rFonts w:cs="Times New Roman"/>
          <w:szCs w:val="24"/>
          <w:lang w:val="fr-FR"/>
        </w:rPr>
        <w:t xml:space="preserve">auxiliaires de pharmacies </w:t>
      </w:r>
      <w:r w:rsidR="00B4464C" w:rsidRPr="003C5B1A">
        <w:rPr>
          <w:rFonts w:cs="Times New Roman"/>
          <w:szCs w:val="24"/>
          <w:lang w:val="fr-FR"/>
        </w:rPr>
        <w:t>/</w:t>
      </w:r>
      <w:r w:rsidR="007D0B0A" w:rsidRPr="003C5B1A">
        <w:rPr>
          <w:rFonts w:cs="Times New Roman"/>
          <w:szCs w:val="24"/>
          <w:lang w:val="fr-FR"/>
        </w:rPr>
        <w:t xml:space="preserve"> officines </w:t>
      </w:r>
      <w:r w:rsidR="00B4464C" w:rsidRPr="003C5B1A">
        <w:rPr>
          <w:rFonts w:cs="Times New Roman"/>
          <w:szCs w:val="24"/>
          <w:lang w:val="fr-FR"/>
        </w:rPr>
        <w:t>à administrer le DMPA-SC.</w:t>
      </w:r>
    </w:p>
    <w:p w:rsidR="00B4464C" w:rsidRPr="003C5B1A" w:rsidRDefault="007D0B0A" w:rsidP="00361443">
      <w:pPr>
        <w:numPr>
          <w:ilvl w:val="0"/>
          <w:numId w:val="12"/>
        </w:numPr>
        <w:spacing w:after="120" w:line="240" w:lineRule="auto"/>
        <w:ind w:left="357" w:hanging="357"/>
        <w:jc w:val="both"/>
        <w:rPr>
          <w:rFonts w:cs="Times New Roman"/>
          <w:szCs w:val="24"/>
          <w:lang w:val="fr-FR"/>
        </w:rPr>
      </w:pPr>
      <w:r w:rsidRPr="003C5B1A">
        <w:rPr>
          <w:rFonts w:cs="Times New Roman"/>
          <w:szCs w:val="24"/>
          <w:lang w:val="fr-FR"/>
        </w:rPr>
        <w:t xml:space="preserve">Le renforcement de l’autonomisation de la femme est </w:t>
      </w:r>
      <w:r w:rsidR="00457B3D" w:rsidRPr="003C5B1A">
        <w:rPr>
          <w:rFonts w:cs="Times New Roman"/>
          <w:szCs w:val="24"/>
          <w:lang w:val="fr-FR"/>
        </w:rPr>
        <w:t xml:space="preserve">à l’instar des autres pays de la sous-région, </w:t>
      </w:r>
      <w:r w:rsidRPr="003C5B1A">
        <w:rPr>
          <w:rFonts w:cs="Times New Roman"/>
          <w:szCs w:val="24"/>
          <w:lang w:val="fr-FR"/>
        </w:rPr>
        <w:t>un impératif. Pour cela il faut que le Ministère de la santé</w:t>
      </w:r>
      <w:r w:rsidR="00457B3D" w:rsidRPr="003C5B1A">
        <w:rPr>
          <w:rFonts w:cs="Times New Roman"/>
          <w:szCs w:val="24"/>
          <w:lang w:val="fr-FR"/>
        </w:rPr>
        <w:t>,</w:t>
      </w:r>
      <w:r w:rsidRPr="003C5B1A">
        <w:rPr>
          <w:rFonts w:cs="Times New Roman"/>
          <w:szCs w:val="24"/>
          <w:lang w:val="fr-FR"/>
        </w:rPr>
        <w:t xml:space="preserve"> autorise à travers un arrêté ou une circulaire </w:t>
      </w:r>
      <w:r w:rsidR="00B4464C" w:rsidRPr="003C5B1A">
        <w:rPr>
          <w:rFonts w:cs="Times New Roman"/>
          <w:szCs w:val="24"/>
          <w:lang w:val="fr-FR"/>
        </w:rPr>
        <w:t xml:space="preserve">l’auto injection du DMPA-SC. </w:t>
      </w:r>
    </w:p>
    <w:p w:rsidR="00B4464C" w:rsidRDefault="00635924" w:rsidP="00361443">
      <w:pPr>
        <w:pStyle w:val="ListParagraph"/>
        <w:numPr>
          <w:ilvl w:val="0"/>
          <w:numId w:val="11"/>
        </w:numPr>
        <w:spacing w:after="120" w:line="240" w:lineRule="auto"/>
        <w:jc w:val="both"/>
        <w:rPr>
          <w:rFonts w:cs="Times New Roman"/>
          <w:b/>
          <w:color w:val="44546A" w:themeColor="text2"/>
          <w:szCs w:val="24"/>
          <w:lang w:val="fr-FR"/>
        </w:rPr>
      </w:pPr>
      <w:r w:rsidRPr="003C5B1A">
        <w:rPr>
          <w:rFonts w:cs="Times New Roman"/>
          <w:b/>
          <w:color w:val="44546A" w:themeColor="text2"/>
          <w:szCs w:val="24"/>
          <w:lang w:val="fr-FR"/>
        </w:rPr>
        <w:t xml:space="preserve"> </w:t>
      </w:r>
      <w:r w:rsidR="00872990" w:rsidRPr="003C5B1A">
        <w:rPr>
          <w:rFonts w:cs="Times New Roman"/>
          <w:b/>
          <w:color w:val="44546A" w:themeColor="text2"/>
          <w:szCs w:val="24"/>
          <w:lang w:val="fr-FR"/>
        </w:rPr>
        <w:t xml:space="preserve">Renforcement de la </w:t>
      </w:r>
      <w:r w:rsidR="00B4464C" w:rsidRPr="003C5B1A">
        <w:rPr>
          <w:rFonts w:cs="Times New Roman"/>
          <w:b/>
          <w:color w:val="44546A" w:themeColor="text2"/>
          <w:szCs w:val="24"/>
          <w:lang w:val="fr-FR"/>
        </w:rPr>
        <w:t xml:space="preserve">coordination  </w:t>
      </w:r>
    </w:p>
    <w:p w:rsidR="003C5B1A" w:rsidRPr="003C5B1A" w:rsidRDefault="003C5B1A" w:rsidP="003C5B1A">
      <w:pPr>
        <w:pStyle w:val="ListParagraph"/>
        <w:spacing w:after="120" w:line="240" w:lineRule="auto"/>
        <w:ind w:left="360"/>
        <w:jc w:val="both"/>
        <w:rPr>
          <w:rFonts w:cs="Times New Roman"/>
          <w:b/>
          <w:color w:val="44546A" w:themeColor="text2"/>
          <w:sz w:val="14"/>
          <w:szCs w:val="24"/>
          <w:lang w:val="fr-FR"/>
        </w:rPr>
      </w:pPr>
    </w:p>
    <w:p w:rsidR="007D0B0A" w:rsidRPr="003C5B1A" w:rsidRDefault="007D0B0A" w:rsidP="00361443">
      <w:pPr>
        <w:pStyle w:val="ListParagraph"/>
        <w:numPr>
          <w:ilvl w:val="0"/>
          <w:numId w:val="13"/>
        </w:numPr>
        <w:jc w:val="both"/>
        <w:rPr>
          <w:rFonts w:cs="Times New Roman"/>
          <w:szCs w:val="24"/>
          <w:lang w:val="fr-FR"/>
        </w:rPr>
      </w:pPr>
      <w:r w:rsidRPr="003C5B1A">
        <w:rPr>
          <w:rFonts w:cs="Times New Roman"/>
          <w:szCs w:val="24"/>
          <w:lang w:val="fr-FR"/>
        </w:rPr>
        <w:t>La coordination tant au niveau central comme au niveau opérationnel, est un sérieux handicap au passage à échelle du DMPA-SC. Il est important de m</w:t>
      </w:r>
      <w:r w:rsidR="00B4464C" w:rsidRPr="003C5B1A">
        <w:rPr>
          <w:rFonts w:cs="Times New Roman"/>
          <w:szCs w:val="24"/>
          <w:lang w:val="fr-FR"/>
        </w:rPr>
        <w:t xml:space="preserve">ettre en place </w:t>
      </w:r>
      <w:r w:rsidRPr="003C5B1A">
        <w:rPr>
          <w:rFonts w:cs="Times New Roman"/>
          <w:szCs w:val="24"/>
          <w:lang w:val="fr-FR"/>
        </w:rPr>
        <w:t>au sein du comité technique</w:t>
      </w:r>
      <w:r w:rsidR="00B4464C" w:rsidRPr="003C5B1A">
        <w:rPr>
          <w:rFonts w:cs="Times New Roman"/>
          <w:szCs w:val="24"/>
          <w:lang w:val="fr-FR"/>
        </w:rPr>
        <w:t xml:space="preserve"> de suivi de la mise en œuvre du plan PF</w:t>
      </w:r>
      <w:r w:rsidRPr="003C5B1A">
        <w:rPr>
          <w:rFonts w:cs="Times New Roman"/>
          <w:szCs w:val="24"/>
          <w:lang w:val="fr-FR"/>
        </w:rPr>
        <w:t xml:space="preserve">, un sous-comité ou sous-groupe de travail qui réfléchira et accompagnera le ministère de la santé dans le processus de passage à échelle du DMPA-SC. Ce groupe pourra reverser ses résultats pour décision au comité technique PF. </w:t>
      </w:r>
    </w:p>
    <w:p w:rsidR="00B4464C" w:rsidRPr="003C5B1A" w:rsidRDefault="00872990" w:rsidP="00361443">
      <w:pPr>
        <w:pStyle w:val="ListParagraph"/>
        <w:numPr>
          <w:ilvl w:val="0"/>
          <w:numId w:val="13"/>
        </w:numPr>
        <w:jc w:val="both"/>
        <w:rPr>
          <w:rFonts w:cs="Times New Roman"/>
          <w:szCs w:val="24"/>
          <w:lang w:val="fr-FR"/>
        </w:rPr>
      </w:pPr>
      <w:r w:rsidRPr="003C5B1A">
        <w:rPr>
          <w:rFonts w:cs="Times New Roman"/>
          <w:szCs w:val="24"/>
          <w:lang w:val="fr-FR"/>
        </w:rPr>
        <w:t>Red</w:t>
      </w:r>
      <w:r w:rsidR="00B4464C" w:rsidRPr="003C5B1A">
        <w:rPr>
          <w:rFonts w:cs="Times New Roman"/>
          <w:szCs w:val="24"/>
          <w:lang w:val="fr-FR"/>
        </w:rPr>
        <w:t xml:space="preserve">ynamiser le groupe thématique accès aux services </w:t>
      </w:r>
      <w:r w:rsidRPr="003C5B1A">
        <w:rPr>
          <w:rFonts w:cs="Times New Roman"/>
          <w:szCs w:val="24"/>
          <w:lang w:val="fr-FR"/>
        </w:rPr>
        <w:t>afin de trouver régulièrement des solutions aux problèmes éventuels que connait le Niger en matière d’accès aux services, mais également en matière de chaine d’approvisionnement.</w:t>
      </w:r>
    </w:p>
    <w:p w:rsidR="003C5B1A" w:rsidRPr="003C5B1A" w:rsidRDefault="003C5B1A" w:rsidP="003C5B1A">
      <w:pPr>
        <w:pStyle w:val="ListParagraph"/>
        <w:ind w:left="360"/>
        <w:jc w:val="both"/>
        <w:rPr>
          <w:rFonts w:cs="Times New Roman"/>
          <w:sz w:val="14"/>
          <w:szCs w:val="24"/>
          <w:lang w:val="fr-FR"/>
        </w:rPr>
      </w:pPr>
    </w:p>
    <w:p w:rsidR="00B4464C" w:rsidRDefault="00635924" w:rsidP="00361443">
      <w:pPr>
        <w:pStyle w:val="ListParagraph"/>
        <w:numPr>
          <w:ilvl w:val="0"/>
          <w:numId w:val="11"/>
        </w:numPr>
        <w:spacing w:after="120" w:line="240" w:lineRule="auto"/>
        <w:jc w:val="both"/>
        <w:rPr>
          <w:rFonts w:cs="Times New Roman"/>
          <w:b/>
          <w:color w:val="44546A" w:themeColor="text2"/>
          <w:szCs w:val="24"/>
          <w:lang w:val="fr-FR"/>
        </w:rPr>
      </w:pPr>
      <w:r w:rsidRPr="003C5B1A">
        <w:rPr>
          <w:rFonts w:cs="Times New Roman"/>
          <w:b/>
          <w:color w:val="44546A" w:themeColor="text2"/>
          <w:szCs w:val="24"/>
          <w:lang w:val="fr-FR"/>
        </w:rPr>
        <w:t xml:space="preserve"> </w:t>
      </w:r>
      <w:r w:rsidR="00872990" w:rsidRPr="003C5B1A">
        <w:rPr>
          <w:rFonts w:cs="Times New Roman"/>
          <w:b/>
          <w:color w:val="44546A" w:themeColor="text2"/>
          <w:szCs w:val="24"/>
          <w:lang w:val="fr-FR"/>
        </w:rPr>
        <w:t>Appui</w:t>
      </w:r>
      <w:r w:rsidR="00B4464C" w:rsidRPr="003C5B1A">
        <w:rPr>
          <w:rFonts w:cs="Times New Roman"/>
          <w:b/>
          <w:color w:val="44546A" w:themeColor="text2"/>
          <w:szCs w:val="24"/>
          <w:lang w:val="fr-FR"/>
        </w:rPr>
        <w:t xml:space="preserve"> au</w:t>
      </w:r>
      <w:r w:rsidR="00741548" w:rsidRPr="003C5B1A">
        <w:rPr>
          <w:rFonts w:cs="Times New Roman"/>
          <w:b/>
          <w:color w:val="44546A" w:themeColor="text2"/>
          <w:szCs w:val="24"/>
          <w:lang w:val="fr-FR"/>
        </w:rPr>
        <w:t>x</w:t>
      </w:r>
      <w:r w:rsidR="00B4464C" w:rsidRPr="003C5B1A">
        <w:rPr>
          <w:rFonts w:cs="Times New Roman"/>
          <w:b/>
          <w:color w:val="44546A" w:themeColor="text2"/>
          <w:szCs w:val="24"/>
          <w:lang w:val="fr-FR"/>
        </w:rPr>
        <w:t xml:space="preserve"> </w:t>
      </w:r>
      <w:r w:rsidR="00872990" w:rsidRPr="003C5B1A">
        <w:rPr>
          <w:rFonts w:cs="Times New Roman"/>
          <w:b/>
          <w:color w:val="44546A" w:themeColor="text2"/>
          <w:szCs w:val="24"/>
          <w:lang w:val="fr-FR"/>
        </w:rPr>
        <w:t>activités catalytiques</w:t>
      </w:r>
      <w:r w:rsidR="00B4464C" w:rsidRPr="003C5B1A">
        <w:rPr>
          <w:rFonts w:cs="Times New Roman"/>
          <w:b/>
          <w:color w:val="44546A" w:themeColor="text2"/>
          <w:szCs w:val="24"/>
          <w:lang w:val="fr-FR"/>
        </w:rPr>
        <w:t xml:space="preserve"> </w:t>
      </w:r>
    </w:p>
    <w:p w:rsidR="003A1A52" w:rsidRPr="003C5B1A" w:rsidRDefault="00872990" w:rsidP="00361443">
      <w:pPr>
        <w:numPr>
          <w:ilvl w:val="0"/>
          <w:numId w:val="14"/>
        </w:numPr>
        <w:jc w:val="both"/>
        <w:rPr>
          <w:rFonts w:cs="Times New Roman"/>
          <w:szCs w:val="24"/>
          <w:lang w:val="fr-FR"/>
        </w:rPr>
      </w:pPr>
      <w:r w:rsidRPr="003C5B1A">
        <w:rPr>
          <w:rFonts w:cs="Times New Roman"/>
          <w:b/>
          <w:color w:val="44546A" w:themeColor="text2"/>
          <w:szCs w:val="24"/>
          <w:lang w:val="fr-FR"/>
        </w:rPr>
        <w:t>Utiliser les vidéo et les aides mémoires pour actualiser les formations ou orientation des agents de santé et prestataires</w:t>
      </w:r>
      <w:r w:rsidRPr="003C5B1A">
        <w:rPr>
          <w:rFonts w:cs="Times New Roman"/>
          <w:color w:val="44546A" w:themeColor="text2"/>
          <w:szCs w:val="24"/>
          <w:lang w:val="fr-FR"/>
        </w:rPr>
        <w:t xml:space="preserve"> : </w:t>
      </w:r>
      <w:r w:rsidRPr="003C5B1A">
        <w:rPr>
          <w:rFonts w:cs="Times New Roman"/>
          <w:szCs w:val="24"/>
          <w:lang w:val="fr-FR"/>
        </w:rPr>
        <w:t xml:space="preserve">Les agents de santé et prestataires de services qui sont dans les Centres de santé intégrés et les maternités des hôpitaux, ont été formé depuis 2014, mais n’ont jamais été autorisé à offrir les services de DMPA-SC, mais juste à superviser les cases de santé. </w:t>
      </w:r>
      <w:r w:rsidR="00B4464C" w:rsidRPr="003C5B1A">
        <w:rPr>
          <w:rFonts w:cs="Times New Roman"/>
          <w:szCs w:val="24"/>
          <w:lang w:val="fr-FR"/>
        </w:rPr>
        <w:t xml:space="preserve">Initier </w:t>
      </w:r>
      <w:r w:rsidR="00741548" w:rsidRPr="003C5B1A">
        <w:rPr>
          <w:rFonts w:cs="Times New Roman"/>
          <w:szCs w:val="24"/>
          <w:lang w:val="fr-FR"/>
        </w:rPr>
        <w:t xml:space="preserve">et faire le suivi </w:t>
      </w:r>
      <w:r w:rsidR="00B4464C" w:rsidRPr="003C5B1A">
        <w:rPr>
          <w:rFonts w:cs="Times New Roman"/>
          <w:szCs w:val="24"/>
          <w:lang w:val="fr-FR"/>
        </w:rPr>
        <w:t>des formations in situ en DMPA-SC</w:t>
      </w:r>
      <w:r w:rsidR="00741548" w:rsidRPr="003C5B1A">
        <w:rPr>
          <w:rFonts w:cs="Times New Roman"/>
          <w:szCs w:val="24"/>
          <w:lang w:val="fr-FR"/>
        </w:rPr>
        <w:t>.</w:t>
      </w:r>
    </w:p>
    <w:p w:rsidR="00872990" w:rsidRPr="003C5B1A" w:rsidRDefault="00872990" w:rsidP="00361443">
      <w:pPr>
        <w:numPr>
          <w:ilvl w:val="0"/>
          <w:numId w:val="14"/>
        </w:numPr>
        <w:jc w:val="both"/>
        <w:rPr>
          <w:rFonts w:cs="Times New Roman"/>
          <w:szCs w:val="24"/>
          <w:lang w:val="fr-FR"/>
        </w:rPr>
      </w:pPr>
      <w:r w:rsidRPr="003C5B1A">
        <w:rPr>
          <w:rFonts w:cs="Times New Roman"/>
          <w:b/>
          <w:color w:val="44546A" w:themeColor="text2"/>
          <w:szCs w:val="24"/>
          <w:lang w:val="fr-FR"/>
        </w:rPr>
        <w:t>Renforcer l’offre dans le secteur privé </w:t>
      </w:r>
      <w:r w:rsidRPr="003C5B1A">
        <w:rPr>
          <w:rFonts w:cs="Times New Roman"/>
          <w:color w:val="44546A" w:themeColor="text2"/>
          <w:szCs w:val="24"/>
          <w:lang w:val="fr-FR"/>
        </w:rPr>
        <w:t xml:space="preserve">: </w:t>
      </w:r>
      <w:r w:rsidRPr="003C5B1A">
        <w:rPr>
          <w:rFonts w:cs="Times New Roman"/>
          <w:szCs w:val="24"/>
          <w:lang w:val="fr-FR"/>
        </w:rPr>
        <w:t>Le DMPA-SC est déjà dans le marketing social au Niger et il faut renforcer son expansion. Les approches de formations innovantes doivent être utilisée pour impliquer plus de pharmacie dans la distribution et si possible l’offre, mais aussi les cliniques privées.</w:t>
      </w:r>
    </w:p>
    <w:p w:rsidR="00872990" w:rsidRDefault="00872990" w:rsidP="00361443">
      <w:pPr>
        <w:numPr>
          <w:ilvl w:val="0"/>
          <w:numId w:val="14"/>
        </w:numPr>
        <w:jc w:val="both"/>
        <w:rPr>
          <w:rFonts w:cs="Times New Roman"/>
          <w:szCs w:val="24"/>
          <w:lang w:val="fr-FR"/>
        </w:rPr>
      </w:pPr>
      <w:r w:rsidRPr="003C5B1A">
        <w:rPr>
          <w:rFonts w:cs="Times New Roman"/>
          <w:b/>
          <w:color w:val="44546A" w:themeColor="text2"/>
          <w:szCs w:val="24"/>
          <w:lang w:val="fr-FR"/>
        </w:rPr>
        <w:t>Promouvoir l’</w:t>
      </w:r>
      <w:proofErr w:type="spellStart"/>
      <w:r w:rsidRPr="003C5B1A">
        <w:rPr>
          <w:rFonts w:cs="Times New Roman"/>
          <w:b/>
          <w:color w:val="44546A" w:themeColor="text2"/>
          <w:szCs w:val="24"/>
          <w:lang w:val="fr-FR"/>
        </w:rPr>
        <w:t>auto-injection</w:t>
      </w:r>
      <w:proofErr w:type="spellEnd"/>
      <w:r w:rsidRPr="003C5B1A">
        <w:rPr>
          <w:rFonts w:cs="Times New Roman"/>
          <w:b/>
          <w:color w:val="44546A" w:themeColor="text2"/>
          <w:szCs w:val="24"/>
          <w:lang w:val="fr-FR"/>
        </w:rPr>
        <w:t> :</w:t>
      </w:r>
      <w:r w:rsidRPr="003C5B1A">
        <w:rPr>
          <w:rFonts w:cs="Times New Roman"/>
          <w:color w:val="44546A" w:themeColor="text2"/>
          <w:szCs w:val="24"/>
          <w:lang w:val="fr-FR"/>
        </w:rPr>
        <w:t xml:space="preserve"> </w:t>
      </w:r>
      <w:r w:rsidRPr="003C5B1A">
        <w:rPr>
          <w:rFonts w:cs="Times New Roman"/>
          <w:szCs w:val="24"/>
          <w:lang w:val="fr-FR"/>
        </w:rPr>
        <w:t>En autorisant l’</w:t>
      </w:r>
      <w:proofErr w:type="spellStart"/>
      <w:r w:rsidRPr="003C5B1A">
        <w:rPr>
          <w:rFonts w:cs="Times New Roman"/>
          <w:szCs w:val="24"/>
          <w:lang w:val="fr-FR"/>
        </w:rPr>
        <w:t>auto-injection</w:t>
      </w:r>
      <w:proofErr w:type="spellEnd"/>
      <w:r w:rsidRPr="003C5B1A">
        <w:rPr>
          <w:rFonts w:cs="Times New Roman"/>
          <w:szCs w:val="24"/>
          <w:lang w:val="fr-FR"/>
        </w:rPr>
        <w:t>, le Niger montrerait ainsi sa volonté de vraiment améliorer l’accès des femmes aux services, et pourrait commencer cela même en démonstration dans la ville de Niamey et utiliser les mises à jour en formation pour permettre aux agents de santé de mieux coacher les femmes qui aimeront s’auto-injecter. Ceci permettrait de faire des économies sur les coûts de formations.</w:t>
      </w:r>
    </w:p>
    <w:p w:rsidR="00C77A4E" w:rsidRPr="003C5B1A" w:rsidRDefault="00C77A4E" w:rsidP="00361443">
      <w:pPr>
        <w:numPr>
          <w:ilvl w:val="0"/>
          <w:numId w:val="14"/>
        </w:numPr>
        <w:jc w:val="both"/>
        <w:rPr>
          <w:rFonts w:cs="Times New Roman"/>
          <w:szCs w:val="24"/>
          <w:lang w:val="fr-FR"/>
        </w:rPr>
      </w:pPr>
      <w:r>
        <w:rPr>
          <w:rFonts w:cs="Times New Roman"/>
          <w:b/>
          <w:color w:val="44546A" w:themeColor="text2"/>
          <w:szCs w:val="24"/>
          <w:lang w:val="fr-FR"/>
        </w:rPr>
        <w:t>Appuyer et intensifier les actions de création de la demande :</w:t>
      </w:r>
      <w:r>
        <w:rPr>
          <w:rFonts w:cs="Times New Roman"/>
          <w:szCs w:val="24"/>
          <w:lang w:val="fr-FR"/>
        </w:rPr>
        <w:t xml:space="preserve"> ces actions devront renforcer le plan de communication en matière de planification familiale. Il ne s’agira pas d’une communication spécifique sur un seul produit, mais sur l’ensemble des méthodes contraceptives afin de garantir le consentement et le libre choix.</w:t>
      </w:r>
    </w:p>
    <w:p w:rsidR="00B4464C" w:rsidRPr="00177290" w:rsidRDefault="009850DF" w:rsidP="00177290">
      <w:pPr>
        <w:pStyle w:val="JhpChapterTitlect"/>
        <w:rPr>
          <w:iCs/>
          <w:lang w:val="fr-FR"/>
        </w:rPr>
      </w:pPr>
      <w:bookmarkStart w:id="169" w:name="_Toc19203087"/>
      <w:bookmarkStart w:id="170" w:name="_Toc19105286"/>
      <w:r w:rsidRPr="00177290">
        <w:rPr>
          <w:iCs/>
          <w:lang w:val="fr-FR"/>
        </w:rPr>
        <w:lastRenderedPageBreak/>
        <w:t>Conclusion</w:t>
      </w:r>
      <w:bookmarkEnd w:id="169"/>
      <w:r w:rsidRPr="00177290">
        <w:rPr>
          <w:iCs/>
          <w:lang w:val="fr-FR"/>
        </w:rPr>
        <w:t> </w:t>
      </w:r>
      <w:bookmarkEnd w:id="170"/>
    </w:p>
    <w:p w:rsidR="00540AAA" w:rsidRDefault="00540AAA" w:rsidP="00540AAA">
      <w:pPr>
        <w:jc w:val="both"/>
        <w:rPr>
          <w:rFonts w:cs="Times New Roman"/>
          <w:szCs w:val="24"/>
          <w:lang w:val="fr-FR"/>
        </w:rPr>
      </w:pPr>
      <w:r>
        <w:rPr>
          <w:rFonts w:cs="Times New Roman"/>
          <w:szCs w:val="24"/>
          <w:lang w:val="fr-FR"/>
        </w:rPr>
        <w:t xml:space="preserve">Cette analyse rapide s’est faite en moins de </w:t>
      </w:r>
      <w:r w:rsidRPr="0079228E">
        <w:rPr>
          <w:rFonts w:cs="Times New Roman"/>
          <w:szCs w:val="24"/>
          <w:lang w:val="fr-FR"/>
        </w:rPr>
        <w:t xml:space="preserve">deux (2) mois. Elle a nécessité l’implication des différents acteurs du domaine de la PF sous le leadership du ministère de la santé </w:t>
      </w:r>
      <w:r>
        <w:rPr>
          <w:rFonts w:cs="Times New Roman"/>
          <w:szCs w:val="24"/>
          <w:lang w:val="fr-FR"/>
        </w:rPr>
        <w:t xml:space="preserve">publique </w:t>
      </w:r>
      <w:r w:rsidRPr="0079228E">
        <w:rPr>
          <w:rFonts w:cs="Times New Roman"/>
          <w:szCs w:val="24"/>
          <w:lang w:val="fr-FR"/>
        </w:rPr>
        <w:t xml:space="preserve">à travers la direction </w:t>
      </w:r>
      <w:r>
        <w:rPr>
          <w:rFonts w:cs="Times New Roman"/>
          <w:szCs w:val="24"/>
          <w:lang w:val="fr-FR"/>
        </w:rPr>
        <w:t xml:space="preserve">de la santé de la mère de l’enfant et de la division </w:t>
      </w:r>
      <w:r w:rsidRPr="0079228E">
        <w:rPr>
          <w:rFonts w:cs="Times New Roman"/>
          <w:szCs w:val="24"/>
          <w:lang w:val="fr-FR"/>
        </w:rPr>
        <w:t xml:space="preserve">planification familiale. </w:t>
      </w:r>
      <w:r>
        <w:rPr>
          <w:rFonts w:cs="Times New Roman"/>
          <w:szCs w:val="24"/>
          <w:lang w:val="fr-FR"/>
        </w:rPr>
        <w:t xml:space="preserve">Division qui a été récemment érigée en direction. </w:t>
      </w:r>
      <w:r w:rsidRPr="0079228E">
        <w:rPr>
          <w:rFonts w:cs="Times New Roman"/>
          <w:szCs w:val="24"/>
          <w:lang w:val="fr-FR"/>
        </w:rPr>
        <w:t xml:space="preserve">Il est à noter que certaines données n’ont pas pu être collectées du fait soit de l’indisponibilité, soit du non partage par les acteurs concernés. </w:t>
      </w:r>
      <w:r>
        <w:rPr>
          <w:rFonts w:cs="Times New Roman"/>
          <w:szCs w:val="24"/>
          <w:lang w:val="fr-FR"/>
        </w:rPr>
        <w:t>Néanmoins, il ressort de cette rapide analyse situationnelle, que le Niger dispose d’un arsenal d’instruments politiques qui favorisent et démontrent l’engagement des autorités en matière de la santé e la reproduction et planification familiale.</w:t>
      </w:r>
    </w:p>
    <w:p w:rsidR="00540AAA" w:rsidRDefault="00540AAA" w:rsidP="00540AAA">
      <w:pPr>
        <w:jc w:val="both"/>
        <w:rPr>
          <w:rFonts w:cs="Times New Roman"/>
          <w:szCs w:val="24"/>
          <w:lang w:val="fr-FR"/>
        </w:rPr>
      </w:pPr>
      <w:r>
        <w:rPr>
          <w:rFonts w:cs="Times New Roman"/>
          <w:szCs w:val="24"/>
          <w:lang w:val="fr-FR"/>
        </w:rPr>
        <w:t xml:space="preserve">Le Niger a fait des efforts, et des choix qui auraient dû être corrigé très rapidement sur la base des résultats obtenus. Par exemple, le choix le mettre le DMPA-SC uniquement au niveau des cases de santé, reste un choix stratégique judicieux, mais qui aurait dû être complété, quelque temps après par une décision de </w:t>
      </w:r>
      <w:proofErr w:type="spellStart"/>
      <w:r>
        <w:rPr>
          <w:rFonts w:cs="Times New Roman"/>
          <w:szCs w:val="24"/>
          <w:lang w:val="fr-FR"/>
        </w:rPr>
        <w:t>co</w:t>
      </w:r>
      <w:proofErr w:type="spellEnd"/>
      <w:r>
        <w:rPr>
          <w:rFonts w:cs="Times New Roman"/>
          <w:szCs w:val="24"/>
          <w:lang w:val="fr-FR"/>
        </w:rPr>
        <w:t xml:space="preserve">-positionnement afin de donner plus de choix à toutes les femmes et utiliser efficacement le personnel de santé formé. </w:t>
      </w:r>
    </w:p>
    <w:p w:rsidR="00540AAA" w:rsidRDefault="00540AAA" w:rsidP="00540AAA">
      <w:pPr>
        <w:jc w:val="both"/>
        <w:rPr>
          <w:rFonts w:cs="Times New Roman"/>
          <w:szCs w:val="24"/>
          <w:lang w:val="fr-FR"/>
        </w:rPr>
      </w:pPr>
      <w:r>
        <w:rPr>
          <w:rFonts w:cs="Times New Roman"/>
          <w:szCs w:val="24"/>
          <w:lang w:val="fr-FR"/>
        </w:rPr>
        <w:t>Aujourd’hui, avec plus de 700 000 doses de DMPA-SC disponibles et donc plus de 80% de ce stock périmera en fin 2020, il est important pour le Niger d’autoriser l’</w:t>
      </w:r>
      <w:proofErr w:type="spellStart"/>
      <w:r>
        <w:rPr>
          <w:rFonts w:cs="Times New Roman"/>
          <w:szCs w:val="24"/>
          <w:lang w:val="fr-FR"/>
        </w:rPr>
        <w:t>auto-injection</w:t>
      </w:r>
      <w:proofErr w:type="spellEnd"/>
      <w:r>
        <w:rPr>
          <w:rFonts w:cs="Times New Roman"/>
          <w:szCs w:val="24"/>
          <w:lang w:val="fr-FR"/>
        </w:rPr>
        <w:t xml:space="preserve">, afin de faciliter le choix et l’accès des femmes. Le renforcement de l’offre du DMPA-SC dans toutes les formations sanitaires, y compris le secteur privé, notamment les cliniques privées, les pharmacies et les officines privées, et au niveau communautaire garantiront également la réelle volonté du Ministère de la santé à </w:t>
      </w:r>
      <w:proofErr w:type="spellStart"/>
      <w:r>
        <w:rPr>
          <w:rFonts w:cs="Times New Roman"/>
          <w:szCs w:val="24"/>
          <w:lang w:val="fr-FR"/>
        </w:rPr>
        <w:t>à</w:t>
      </w:r>
      <w:proofErr w:type="spellEnd"/>
      <w:r>
        <w:rPr>
          <w:rFonts w:cs="Times New Roman"/>
          <w:szCs w:val="24"/>
          <w:lang w:val="fr-FR"/>
        </w:rPr>
        <w:t xml:space="preserve"> rendre effective les approches de délégation de tâches en PF. </w:t>
      </w:r>
    </w:p>
    <w:p w:rsidR="00540AAA" w:rsidRPr="007E0B3C" w:rsidRDefault="00540AAA" w:rsidP="003C5B1A">
      <w:pPr>
        <w:pStyle w:val="JhpChapterTitlect"/>
        <w:rPr>
          <w:lang w:val="fr-FR"/>
        </w:rPr>
      </w:pPr>
      <w:r>
        <w:rPr>
          <w:lang w:val="fr-FR"/>
        </w:rPr>
        <w:br w:type="page"/>
      </w:r>
    </w:p>
    <w:p w:rsidR="00B4464C" w:rsidRPr="00177290" w:rsidRDefault="00A14FB2" w:rsidP="00177290">
      <w:pPr>
        <w:pStyle w:val="JhpChapterTitlect"/>
        <w:rPr>
          <w:bCs/>
          <w:iCs/>
          <w:lang w:val="fr-FR"/>
        </w:rPr>
      </w:pPr>
      <w:bookmarkStart w:id="171" w:name="_Toc19203088"/>
      <w:r w:rsidRPr="00177290">
        <w:rPr>
          <w:bCs/>
          <w:iCs/>
          <w:lang w:val="fr-FR"/>
        </w:rPr>
        <w:lastRenderedPageBreak/>
        <w:t>B</w:t>
      </w:r>
      <w:r w:rsidR="00B4464C" w:rsidRPr="00177290">
        <w:rPr>
          <w:bCs/>
          <w:iCs/>
          <w:lang w:val="fr-FR"/>
        </w:rPr>
        <w:t>ibliographie</w:t>
      </w:r>
      <w:bookmarkEnd w:id="171"/>
    </w:p>
    <w:p w:rsidR="00611301" w:rsidRPr="00540AAA" w:rsidRDefault="00540AAA" w:rsidP="00361443">
      <w:pPr>
        <w:pStyle w:val="ListParagraph"/>
        <w:numPr>
          <w:ilvl w:val="0"/>
          <w:numId w:val="15"/>
        </w:numPr>
        <w:ind w:left="357" w:hanging="357"/>
        <w:jc w:val="both"/>
        <w:rPr>
          <w:rFonts w:cs="Times New Roman"/>
          <w:szCs w:val="24"/>
          <w:lang w:val="fr-FR"/>
        </w:rPr>
      </w:pPr>
      <w:r w:rsidRPr="00540AAA">
        <w:rPr>
          <w:rFonts w:cs="Times New Roman"/>
          <w:szCs w:val="24"/>
          <w:lang w:val="fr-FR"/>
        </w:rPr>
        <w:t>Document de n</w:t>
      </w:r>
      <w:r w:rsidR="00611301" w:rsidRPr="00540AAA">
        <w:rPr>
          <w:rFonts w:cs="Times New Roman"/>
          <w:szCs w:val="24"/>
          <w:lang w:val="fr-FR"/>
        </w:rPr>
        <w:t xml:space="preserve">ormes et </w:t>
      </w:r>
      <w:r w:rsidR="007E0B3C" w:rsidRPr="00540AAA">
        <w:rPr>
          <w:rFonts w:cs="Times New Roman"/>
          <w:szCs w:val="24"/>
          <w:lang w:val="fr-FR"/>
        </w:rPr>
        <w:t>procédures</w:t>
      </w:r>
      <w:r w:rsidRPr="00540AAA">
        <w:rPr>
          <w:rFonts w:cs="Times New Roman"/>
          <w:szCs w:val="24"/>
          <w:lang w:val="fr-FR"/>
        </w:rPr>
        <w:t xml:space="preserve"> en santé</w:t>
      </w:r>
      <w:r w:rsidR="00611301" w:rsidRPr="00540AAA">
        <w:rPr>
          <w:rFonts w:cs="Times New Roman"/>
          <w:szCs w:val="24"/>
          <w:lang w:val="fr-FR"/>
        </w:rPr>
        <w:t xml:space="preserve">, Mars 2012 </w:t>
      </w:r>
    </w:p>
    <w:p w:rsidR="00611301" w:rsidRPr="003C5B1A" w:rsidRDefault="00D06818" w:rsidP="00361443">
      <w:pPr>
        <w:pStyle w:val="ListParagraph"/>
        <w:numPr>
          <w:ilvl w:val="0"/>
          <w:numId w:val="15"/>
        </w:numPr>
        <w:ind w:left="357" w:hanging="357"/>
        <w:jc w:val="both"/>
        <w:rPr>
          <w:rFonts w:cs="Times New Roman"/>
          <w:szCs w:val="24"/>
          <w:lang w:val="fr-FR"/>
        </w:rPr>
      </w:pPr>
      <w:r w:rsidRPr="003C5B1A">
        <w:rPr>
          <w:rFonts w:cs="Times New Roman"/>
          <w:szCs w:val="24"/>
          <w:lang w:val="fr-FR"/>
        </w:rPr>
        <w:t>Rapport de l’e</w:t>
      </w:r>
      <w:r w:rsidR="00611301" w:rsidRPr="003C5B1A">
        <w:rPr>
          <w:rFonts w:cs="Times New Roman"/>
          <w:szCs w:val="24"/>
          <w:lang w:val="fr-FR"/>
        </w:rPr>
        <w:t xml:space="preserve">nquête sur la sécurisation des produits et services de santé de la reproduction, rapport définitif, 2017 </w:t>
      </w:r>
    </w:p>
    <w:p w:rsidR="00611301" w:rsidRPr="003C5B1A" w:rsidRDefault="00D06818" w:rsidP="00361443">
      <w:pPr>
        <w:pStyle w:val="ListParagraph"/>
        <w:numPr>
          <w:ilvl w:val="0"/>
          <w:numId w:val="15"/>
        </w:numPr>
        <w:ind w:left="357" w:hanging="357"/>
        <w:jc w:val="both"/>
        <w:rPr>
          <w:rFonts w:cs="Times New Roman"/>
          <w:szCs w:val="24"/>
          <w:lang w:val="fr-FR"/>
        </w:rPr>
      </w:pPr>
      <w:r w:rsidRPr="003C5B1A">
        <w:rPr>
          <w:rFonts w:cs="Times New Roman"/>
          <w:szCs w:val="24"/>
          <w:lang w:val="fr-FR"/>
        </w:rPr>
        <w:t>Rapport de l’e</w:t>
      </w:r>
      <w:r w:rsidR="00611301" w:rsidRPr="003C5B1A">
        <w:rPr>
          <w:rFonts w:cs="Times New Roman"/>
          <w:szCs w:val="24"/>
          <w:lang w:val="fr-FR"/>
        </w:rPr>
        <w:t xml:space="preserve">nquête sur la sécurisation des produits et services de santé de la reproduction, rapport définitif, 2018 </w:t>
      </w:r>
    </w:p>
    <w:p w:rsidR="00611301" w:rsidRPr="003C5B1A" w:rsidRDefault="00611301" w:rsidP="00361443">
      <w:pPr>
        <w:pStyle w:val="ListParagraph"/>
        <w:numPr>
          <w:ilvl w:val="0"/>
          <w:numId w:val="15"/>
        </w:numPr>
        <w:ind w:left="357" w:hanging="357"/>
        <w:jc w:val="both"/>
        <w:rPr>
          <w:rFonts w:cs="Times New Roman"/>
          <w:szCs w:val="24"/>
          <w:lang w:val="fr-FR"/>
        </w:rPr>
      </w:pPr>
      <w:r w:rsidRPr="003C5B1A">
        <w:rPr>
          <w:rFonts w:cs="Times New Roman"/>
          <w:szCs w:val="24"/>
          <w:lang w:val="fr-FR"/>
        </w:rPr>
        <w:t xml:space="preserve">Plan National Stratégique de Sécurisation des Produits de Santé de la Reproduction (PNSPSR) 2017-2021  </w:t>
      </w:r>
    </w:p>
    <w:p w:rsidR="00611301" w:rsidRPr="003C5B1A" w:rsidRDefault="00611301" w:rsidP="00361443">
      <w:pPr>
        <w:pStyle w:val="ListParagraph"/>
        <w:numPr>
          <w:ilvl w:val="0"/>
          <w:numId w:val="15"/>
        </w:numPr>
        <w:ind w:left="357" w:hanging="357"/>
        <w:jc w:val="both"/>
        <w:rPr>
          <w:rFonts w:cs="Times New Roman"/>
          <w:szCs w:val="24"/>
          <w:lang w:val="fr-FR"/>
        </w:rPr>
      </w:pPr>
      <w:r w:rsidRPr="003C5B1A">
        <w:rPr>
          <w:rFonts w:cs="Times New Roman"/>
          <w:szCs w:val="24"/>
          <w:lang w:val="fr-FR"/>
        </w:rPr>
        <w:t xml:space="preserve">Résultats de la quantification des contraceptifs et des médicaments vitaux : 2019-2021 </w:t>
      </w:r>
    </w:p>
    <w:p w:rsidR="00611301" w:rsidRPr="003C5B1A" w:rsidRDefault="00611301" w:rsidP="00361443">
      <w:pPr>
        <w:pStyle w:val="ListParagraph"/>
        <w:numPr>
          <w:ilvl w:val="0"/>
          <w:numId w:val="15"/>
        </w:numPr>
        <w:ind w:left="357" w:hanging="357"/>
        <w:jc w:val="both"/>
        <w:rPr>
          <w:rFonts w:cs="Times New Roman"/>
          <w:szCs w:val="24"/>
          <w:lang w:val="fr-FR"/>
        </w:rPr>
      </w:pPr>
      <w:r w:rsidRPr="003C5B1A">
        <w:rPr>
          <w:rFonts w:cs="Times New Roman"/>
          <w:szCs w:val="24"/>
          <w:lang w:val="fr-FR"/>
        </w:rPr>
        <w:t xml:space="preserve">Situation des Stocks des Produits Contraceptifs et Médicaments Vitaux, réunion du CTPF du 21 juin 2019 </w:t>
      </w:r>
    </w:p>
    <w:p w:rsidR="00611301" w:rsidRPr="003C5B1A" w:rsidRDefault="00611301" w:rsidP="00361443">
      <w:pPr>
        <w:pStyle w:val="ListParagraph"/>
        <w:numPr>
          <w:ilvl w:val="0"/>
          <w:numId w:val="15"/>
        </w:numPr>
        <w:ind w:left="357" w:hanging="357"/>
        <w:jc w:val="both"/>
        <w:rPr>
          <w:rFonts w:cs="Times New Roman"/>
          <w:szCs w:val="24"/>
        </w:rPr>
      </w:pPr>
      <w:proofErr w:type="spellStart"/>
      <w:r w:rsidRPr="003C5B1A">
        <w:rPr>
          <w:rFonts w:cs="Times New Roman"/>
          <w:szCs w:val="24"/>
        </w:rPr>
        <w:t>Politique</w:t>
      </w:r>
      <w:proofErr w:type="spellEnd"/>
      <w:r w:rsidRPr="003C5B1A">
        <w:rPr>
          <w:rFonts w:cs="Times New Roman"/>
          <w:szCs w:val="24"/>
        </w:rPr>
        <w:t xml:space="preserve"> </w:t>
      </w:r>
      <w:proofErr w:type="spellStart"/>
      <w:r w:rsidRPr="003C5B1A">
        <w:rPr>
          <w:rFonts w:cs="Times New Roman"/>
          <w:szCs w:val="24"/>
        </w:rPr>
        <w:t>nationale</w:t>
      </w:r>
      <w:proofErr w:type="spellEnd"/>
      <w:r w:rsidRPr="003C5B1A">
        <w:rPr>
          <w:rFonts w:cs="Times New Roman"/>
          <w:szCs w:val="24"/>
        </w:rPr>
        <w:t xml:space="preserve"> de santé 2015 </w:t>
      </w:r>
    </w:p>
    <w:p w:rsidR="00611301" w:rsidRPr="00FC1C39" w:rsidRDefault="00611301" w:rsidP="00361443">
      <w:pPr>
        <w:pStyle w:val="ListParagraph"/>
        <w:numPr>
          <w:ilvl w:val="0"/>
          <w:numId w:val="15"/>
        </w:numPr>
        <w:ind w:left="357" w:hanging="357"/>
        <w:jc w:val="both"/>
        <w:rPr>
          <w:rFonts w:cs="Times New Roman"/>
          <w:szCs w:val="24"/>
          <w:lang w:val="fr-FR"/>
        </w:rPr>
      </w:pPr>
      <w:r w:rsidRPr="00FC1C39">
        <w:rPr>
          <w:rFonts w:cs="Times New Roman"/>
          <w:szCs w:val="24"/>
          <w:lang w:val="fr-FR"/>
        </w:rPr>
        <w:t xml:space="preserve">Plan d’action national budgétisé PF, 2013-2020 </w:t>
      </w:r>
    </w:p>
    <w:p w:rsidR="00611301" w:rsidRPr="00FC1C39" w:rsidRDefault="00611301" w:rsidP="00361443">
      <w:pPr>
        <w:pStyle w:val="ListParagraph"/>
        <w:numPr>
          <w:ilvl w:val="0"/>
          <w:numId w:val="15"/>
        </w:numPr>
        <w:ind w:left="357" w:hanging="357"/>
        <w:jc w:val="both"/>
        <w:rPr>
          <w:rFonts w:cs="Times New Roman"/>
          <w:szCs w:val="24"/>
          <w:lang w:val="fr-FR"/>
        </w:rPr>
      </w:pPr>
      <w:r w:rsidRPr="00FC1C39">
        <w:rPr>
          <w:rFonts w:cs="Times New Roman"/>
          <w:szCs w:val="24"/>
          <w:lang w:val="fr-FR"/>
        </w:rPr>
        <w:t xml:space="preserve">Plan de mise à échelle du contraceptif injectable Sous Cutané </w:t>
      </w:r>
      <w:proofErr w:type="spellStart"/>
      <w:r w:rsidRPr="00FC1C39">
        <w:rPr>
          <w:rFonts w:cs="Times New Roman"/>
          <w:szCs w:val="24"/>
          <w:lang w:val="fr-FR"/>
        </w:rPr>
        <w:t>Sayana</w:t>
      </w:r>
      <w:proofErr w:type="spellEnd"/>
      <w:r w:rsidRPr="00FC1C39">
        <w:rPr>
          <w:rFonts w:cs="Times New Roman"/>
          <w:szCs w:val="24"/>
          <w:lang w:val="fr-FR"/>
        </w:rPr>
        <w:t xml:space="preserve"> </w:t>
      </w:r>
      <w:proofErr w:type="spellStart"/>
      <w:r w:rsidRPr="00FC1C39">
        <w:rPr>
          <w:rFonts w:cs="Times New Roman"/>
          <w:szCs w:val="24"/>
          <w:lang w:val="fr-FR"/>
        </w:rPr>
        <w:t>Press</w:t>
      </w:r>
      <w:proofErr w:type="spellEnd"/>
      <w:r w:rsidRPr="00FC1C39">
        <w:rPr>
          <w:rFonts w:cs="Times New Roman"/>
          <w:szCs w:val="24"/>
          <w:lang w:val="fr-FR"/>
        </w:rPr>
        <w:t xml:space="preserve"> au Niger, 2015. </w:t>
      </w:r>
    </w:p>
    <w:p w:rsidR="00611301" w:rsidRPr="00FC1C39" w:rsidRDefault="00611301" w:rsidP="00361443">
      <w:pPr>
        <w:pStyle w:val="ListParagraph"/>
        <w:numPr>
          <w:ilvl w:val="0"/>
          <w:numId w:val="15"/>
        </w:numPr>
        <w:ind w:left="357" w:hanging="357"/>
        <w:jc w:val="both"/>
        <w:rPr>
          <w:rFonts w:cs="Times New Roman"/>
          <w:szCs w:val="24"/>
          <w:lang w:val="fr-FR"/>
        </w:rPr>
      </w:pPr>
      <w:r w:rsidRPr="00FC1C39">
        <w:rPr>
          <w:rFonts w:cs="Times New Roman"/>
          <w:szCs w:val="24"/>
          <w:lang w:val="fr-FR"/>
        </w:rPr>
        <w:t xml:space="preserve">Annexe au décret n°2017-160/PRN/MSP du 03 mars 2017 portant adoption du plan de développement sanitaire 2017-2021 </w:t>
      </w:r>
    </w:p>
    <w:p w:rsidR="00611301" w:rsidRPr="00FC1C39" w:rsidRDefault="00611301" w:rsidP="00361443">
      <w:pPr>
        <w:pStyle w:val="ListParagraph"/>
        <w:numPr>
          <w:ilvl w:val="0"/>
          <w:numId w:val="15"/>
        </w:numPr>
        <w:ind w:left="357" w:hanging="357"/>
        <w:jc w:val="both"/>
        <w:rPr>
          <w:rFonts w:cs="Times New Roman"/>
          <w:szCs w:val="24"/>
          <w:lang w:val="fr-FR"/>
        </w:rPr>
      </w:pPr>
      <w:r w:rsidRPr="00FC1C39">
        <w:rPr>
          <w:rFonts w:cs="Times New Roman"/>
          <w:szCs w:val="24"/>
          <w:lang w:val="fr-FR"/>
        </w:rPr>
        <w:t>Loi N° 2006-16 du 21 juin 2006 sur la santé de la reproduction au Niger</w:t>
      </w:r>
    </w:p>
    <w:p w:rsidR="00611301" w:rsidRPr="00FC1C39" w:rsidRDefault="00611301" w:rsidP="00361443">
      <w:pPr>
        <w:pStyle w:val="ListParagraph"/>
        <w:numPr>
          <w:ilvl w:val="0"/>
          <w:numId w:val="15"/>
        </w:numPr>
        <w:ind w:left="357" w:hanging="357"/>
        <w:jc w:val="both"/>
        <w:rPr>
          <w:rFonts w:cs="Times New Roman"/>
          <w:szCs w:val="24"/>
          <w:lang w:val="fr-FR"/>
        </w:rPr>
      </w:pPr>
      <w:r w:rsidRPr="00FC1C39">
        <w:rPr>
          <w:rFonts w:cs="Times New Roman"/>
          <w:szCs w:val="24"/>
          <w:lang w:val="fr-FR"/>
        </w:rPr>
        <w:t xml:space="preserve">Présentation du ministère de la santé publique sur la mise en œuvre du </w:t>
      </w:r>
      <w:proofErr w:type="spellStart"/>
      <w:r w:rsidRPr="00FC1C39">
        <w:rPr>
          <w:rFonts w:cs="Times New Roman"/>
          <w:szCs w:val="24"/>
          <w:lang w:val="fr-FR"/>
        </w:rPr>
        <w:t>Sayana</w:t>
      </w:r>
      <w:proofErr w:type="spellEnd"/>
      <w:r w:rsidRPr="00FC1C39">
        <w:rPr>
          <w:rFonts w:cs="Times New Roman"/>
          <w:szCs w:val="24"/>
          <w:lang w:val="fr-FR"/>
        </w:rPr>
        <w:t xml:space="preserve"> </w:t>
      </w:r>
      <w:proofErr w:type="spellStart"/>
      <w:r w:rsidRPr="00FC1C39">
        <w:rPr>
          <w:rFonts w:cs="Times New Roman"/>
          <w:szCs w:val="24"/>
          <w:lang w:val="fr-FR"/>
        </w:rPr>
        <w:t>Press</w:t>
      </w:r>
      <w:proofErr w:type="spellEnd"/>
      <w:r w:rsidRPr="00FC1C39">
        <w:rPr>
          <w:rFonts w:cs="Times New Roman"/>
          <w:szCs w:val="24"/>
          <w:lang w:val="fr-FR"/>
        </w:rPr>
        <w:t xml:space="preserve"> depuis 2014.</w:t>
      </w: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A5720B" w:rsidRDefault="00B4464C" w:rsidP="009850DF">
      <w:pPr>
        <w:jc w:val="both"/>
        <w:rPr>
          <w:rFonts w:cs="Times New Roman"/>
          <w:sz w:val="24"/>
          <w:szCs w:val="24"/>
          <w:lang w:val="fr-FR"/>
        </w:rPr>
      </w:pPr>
    </w:p>
    <w:p w:rsidR="00B4464C" w:rsidRPr="007E0B3C" w:rsidRDefault="00B4464C" w:rsidP="009850DF">
      <w:pPr>
        <w:jc w:val="both"/>
        <w:rPr>
          <w:rFonts w:cs="Times New Roman"/>
          <w:sz w:val="24"/>
          <w:szCs w:val="24"/>
          <w:lang w:val="fr-FR"/>
        </w:rPr>
        <w:sectPr w:rsidR="00B4464C" w:rsidRPr="007E0B3C" w:rsidSect="0079228E">
          <w:footerReference w:type="default" r:id="rId22"/>
          <w:pgSz w:w="12240" w:h="15840"/>
          <w:pgMar w:top="900" w:right="1183" w:bottom="851" w:left="1170" w:header="0" w:footer="777" w:gutter="0"/>
          <w:cols w:space="720"/>
        </w:sectPr>
      </w:pPr>
    </w:p>
    <w:p w:rsidR="009850DF" w:rsidRPr="00177290" w:rsidRDefault="00D06818" w:rsidP="00177290">
      <w:pPr>
        <w:pStyle w:val="JhpChapterTitlect"/>
        <w:rPr>
          <w:iCs/>
          <w:lang w:val="fr-FR"/>
        </w:rPr>
      </w:pPr>
      <w:bookmarkStart w:id="172" w:name="_Toc3996461"/>
      <w:bookmarkStart w:id="173" w:name="_Toc19203089"/>
      <w:r w:rsidRPr="00177290">
        <w:rPr>
          <w:iCs/>
          <w:lang w:val="fr-FR"/>
        </w:rPr>
        <w:lastRenderedPageBreak/>
        <w:t>Annexe :</w:t>
      </w:r>
      <w:r w:rsidR="00BE5D77" w:rsidRPr="00177290">
        <w:rPr>
          <w:iCs/>
          <w:lang w:val="fr-FR"/>
        </w:rPr>
        <w:t xml:space="preserve"> O</w:t>
      </w:r>
      <w:r w:rsidR="00B4464C" w:rsidRPr="00177290">
        <w:rPr>
          <w:iCs/>
          <w:lang w:val="fr-FR"/>
        </w:rPr>
        <w:t xml:space="preserve">utils d’analyse et d’identification des opportunités d’actions </w:t>
      </w:r>
      <w:bookmarkEnd w:id="172"/>
      <w:r w:rsidR="00BE5D77" w:rsidRPr="00177290">
        <w:rPr>
          <w:iCs/>
          <w:lang w:val="fr-FR"/>
        </w:rPr>
        <w:t>au Niger</w:t>
      </w:r>
      <w:r w:rsidR="00B4464C" w:rsidRPr="00177290">
        <w:rPr>
          <w:iCs/>
          <w:lang w:val="fr-FR"/>
        </w:rPr>
        <w:t xml:space="preserve"> </w:t>
      </w:r>
      <w:r w:rsidR="007D7E4E" w:rsidRPr="00177290">
        <w:rPr>
          <w:iCs/>
          <w:lang w:val="fr-FR"/>
        </w:rPr>
        <w:t>(</w:t>
      </w:r>
      <w:proofErr w:type="spellStart"/>
      <w:r w:rsidR="00BE5D77" w:rsidRPr="00177290">
        <w:rPr>
          <w:iCs/>
          <w:lang w:val="fr-FR"/>
        </w:rPr>
        <w:t>Scorecards</w:t>
      </w:r>
      <w:proofErr w:type="spellEnd"/>
      <w:r w:rsidR="00BE5D77" w:rsidRPr="00177290">
        <w:rPr>
          <w:iCs/>
          <w:lang w:val="fr-FR"/>
        </w:rPr>
        <w:t>)</w:t>
      </w:r>
      <w:bookmarkEnd w:id="173"/>
    </w:p>
    <w:p w:rsidR="003A1A52" w:rsidRPr="00960999" w:rsidRDefault="003A1A52" w:rsidP="00D06818">
      <w:pPr>
        <w:pStyle w:val="Style1"/>
        <w:rPr>
          <w:rFonts w:asciiTheme="minorHAnsi" w:hAnsiTheme="minorHAnsi"/>
          <w:lang w:val="fr-FR"/>
        </w:rPr>
      </w:pPr>
      <w:bookmarkStart w:id="174" w:name="RANGE!A1:L16"/>
      <w:bookmarkEnd w:id="174"/>
    </w:p>
    <w:p w:rsidR="007974B5" w:rsidRPr="00A5720B" w:rsidRDefault="00BE5D77" w:rsidP="009850DF">
      <w:pPr>
        <w:jc w:val="both"/>
        <w:rPr>
          <w:rFonts w:cs="Times New Roman"/>
          <w:lang w:val="fr-FR"/>
        </w:rPr>
      </w:pPr>
      <w:r w:rsidRPr="00A5720B">
        <w:rPr>
          <w:noProof/>
        </w:rPr>
        <w:drawing>
          <wp:inline distT="0" distB="0" distL="0" distR="0">
            <wp:extent cx="9017000" cy="35623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17813" cy="3562671"/>
                    </a:xfrm>
                    <a:prstGeom prst="rect">
                      <a:avLst/>
                    </a:prstGeom>
                    <a:noFill/>
                    <a:ln>
                      <a:noFill/>
                    </a:ln>
                  </pic:spPr>
                </pic:pic>
              </a:graphicData>
            </a:graphic>
          </wp:inline>
        </w:drawing>
      </w:r>
    </w:p>
    <w:sectPr w:rsidR="007974B5" w:rsidRPr="00A5720B" w:rsidSect="00AC606C">
      <w:pgSz w:w="15840" w:h="12240" w:orient="landscape"/>
      <w:pgMar w:top="1038" w:right="1378" w:bottom="1134" w:left="958" w:header="0" w:footer="7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04" w:rsidRDefault="000B3604">
      <w:pPr>
        <w:spacing w:after="0" w:line="240" w:lineRule="auto"/>
      </w:pPr>
      <w:r>
        <w:separator/>
      </w:r>
    </w:p>
  </w:endnote>
  <w:endnote w:type="continuationSeparator" w:id="0">
    <w:p w:rsidR="000B3604" w:rsidRDefault="000B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83" w:rsidRDefault="006C0B83" w:rsidP="006C0B83">
    <w:pPr>
      <w:pStyle w:val="JhpFooter"/>
      <w:jc w:val="center"/>
      <w:rPr>
        <w:color w:val="1F4E79" w:themeColor="accent1" w:themeShade="80"/>
      </w:rPr>
    </w:pPr>
  </w:p>
  <w:p w:rsidR="006C0B83" w:rsidRDefault="006C0B83" w:rsidP="006C0B83">
    <w:pPr>
      <w:pStyle w:val="JhpFooter"/>
      <w:rPr>
        <w:color w:val="1F4E79" w:themeColor="accent1" w:themeShade="80"/>
        <w:lang w:val="fr-FR"/>
      </w:rPr>
    </w:pPr>
    <w:sdt>
      <w:sdtPr>
        <w:rPr>
          <w:noProof/>
          <w:color w:val="1F4E79" w:themeColor="accent1" w:themeShade="80"/>
        </w:rPr>
        <w:id w:val="4263488"/>
        <w:docPartObj>
          <w:docPartGallery w:val="Page Numbers (Bottom of Page)"/>
          <w:docPartUnique/>
        </w:docPartObj>
      </w:sdtPr>
      <w:sdtContent>
        <w:r>
          <w:rPr>
            <w:color w:val="1F4E79" w:themeColor="accent1" w:themeShade="80"/>
            <w:sz w:val="24"/>
            <w:szCs w:val="24"/>
          </w:rPr>
          <w:t xml:space="preserve">                                       </w:t>
        </w:r>
        <w:r>
          <w:rPr>
            <w:color w:val="1F4E79" w:themeColor="accent1" w:themeShade="80"/>
            <w:sz w:val="24"/>
            <w:szCs w:val="24"/>
            <w:lang w:val="fr-FR"/>
          </w:rPr>
          <w:t>Evaluation Rapide de la Si</w:t>
        </w:r>
        <w:r>
          <w:rPr>
            <w:color w:val="1F4E79" w:themeColor="accent1" w:themeShade="80"/>
            <w:sz w:val="24"/>
            <w:szCs w:val="24"/>
            <w:lang w:val="fr-FR"/>
          </w:rPr>
          <w:t>tuation sur le DMPA-SC au Niger</w:t>
        </w:r>
        <w:r>
          <w:rPr>
            <w:color w:val="1F4E79" w:themeColor="accent1" w:themeShade="80"/>
            <w:lang w:val="fr-FR"/>
          </w:rPr>
          <w:tab/>
        </w:r>
      </w:sdtContent>
    </w:sdt>
  </w:p>
  <w:p w:rsidR="00177290" w:rsidRDefault="001772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2BFBB95" wp14:editId="508C1A6B">
              <wp:simplePos x="0" y="0"/>
              <wp:positionH relativeFrom="page">
                <wp:posOffset>6610350</wp:posOffset>
              </wp:positionH>
              <wp:positionV relativeFrom="page">
                <wp:posOffset>9429750</wp:posOffset>
              </wp:positionV>
              <wp:extent cx="274320" cy="19685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290" w:rsidRDefault="00177290">
                          <w:pPr>
                            <w:pStyle w:val="BodyText"/>
                            <w:spacing w:before="20"/>
                            <w:ind w:left="20"/>
                          </w:pPr>
                          <w:r>
                            <w:rPr>
                              <w:color w:val="2A2A2A"/>
                            </w:rPr>
                            <w:t xml:space="preserve">| </w:t>
                          </w:r>
                          <w:r>
                            <w:fldChar w:fldCharType="begin"/>
                          </w:r>
                          <w:r>
                            <w:rPr>
                              <w:color w:val="2A2A2A"/>
                            </w:rPr>
                            <w:instrText xml:space="preserve"> PAGE </w:instrText>
                          </w:r>
                          <w:r>
                            <w:fldChar w:fldCharType="separate"/>
                          </w:r>
                          <w:r w:rsidR="006C0B83">
                            <w:rPr>
                              <w:noProof/>
                              <w:color w:val="2A2A2A"/>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FBB95" id="_x0000_t202" coordsize="21600,21600" o:spt="202" path="m,l,21600r21600,l21600,xe">
              <v:stroke joinstyle="miter"/>
              <v:path gradientshapeok="t" o:connecttype="rect"/>
            </v:shapetype>
            <v:shape id="Text Box 1" o:spid="_x0000_s1039" type="#_x0000_t202" style="position:absolute;margin-left:520.5pt;margin-top:742.5pt;width:21.6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" filled="f" stroked="f">
              <v:path arrowok="t"/>
              <v:textbox inset="0,0,0,0">
                <w:txbxContent>
                  <w:p w:rsidR="00177290" w:rsidRDefault="00177290">
                    <w:pPr>
                      <w:pStyle w:val="BodyText"/>
                      <w:spacing w:before="20"/>
                      <w:ind w:left="20"/>
                    </w:pPr>
                    <w:r>
                      <w:rPr>
                        <w:color w:val="2A2A2A"/>
                      </w:rPr>
                      <w:t xml:space="preserve">| </w:t>
                    </w:r>
                    <w:r>
                      <w:fldChar w:fldCharType="begin"/>
                    </w:r>
                    <w:r>
                      <w:rPr>
                        <w:color w:val="2A2A2A"/>
                      </w:rPr>
                      <w:instrText xml:space="preserve"> PAGE </w:instrText>
                    </w:r>
                    <w:r>
                      <w:fldChar w:fldCharType="separate"/>
                    </w:r>
                    <w:r w:rsidR="006C0B83">
                      <w:rPr>
                        <w:noProof/>
                        <w:color w:val="2A2A2A"/>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04" w:rsidRDefault="000B3604">
      <w:pPr>
        <w:spacing w:after="0" w:line="240" w:lineRule="auto"/>
      </w:pPr>
      <w:r>
        <w:separator/>
      </w:r>
    </w:p>
  </w:footnote>
  <w:footnote w:type="continuationSeparator" w:id="0">
    <w:p w:rsidR="000B3604" w:rsidRDefault="000B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779"/>
    <w:multiLevelType w:val="hybridMultilevel"/>
    <w:tmpl w:val="61068A38"/>
    <w:lvl w:ilvl="0" w:tplc="30466678">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932E4"/>
    <w:multiLevelType w:val="hybridMultilevel"/>
    <w:tmpl w:val="D556FC6A"/>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B45CC"/>
    <w:multiLevelType w:val="hybridMultilevel"/>
    <w:tmpl w:val="BAF82ED0"/>
    <w:lvl w:ilvl="0" w:tplc="C7384FE0">
      <w:start w:val="26"/>
      <w:numFmt w:val="bullet"/>
      <w:lvlText w:val="-"/>
      <w:lvlJc w:val="left"/>
      <w:pPr>
        <w:ind w:left="360" w:hanging="360"/>
      </w:pPr>
      <w:rPr>
        <w:rFonts w:ascii="Times New Roman" w:eastAsiaTheme="minorHAnsi" w:hAnsi="Times New Roman" w:cs="Times New Roman" w:hint="default"/>
        <w:b/>
        <w:color w:val="44546A" w:themeColor="text2"/>
        <w:sz w:val="1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BE8"/>
    <w:multiLevelType w:val="hybridMultilevel"/>
    <w:tmpl w:val="1256BADA"/>
    <w:lvl w:ilvl="0" w:tplc="DD6C1E00">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61149"/>
    <w:multiLevelType w:val="hybridMultilevel"/>
    <w:tmpl w:val="2836F2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6425D"/>
    <w:multiLevelType w:val="hybridMultilevel"/>
    <w:tmpl w:val="8A36B68E"/>
    <w:lvl w:ilvl="0" w:tplc="1C707E12">
      <w:start w:val="1"/>
      <w:numFmt w:val="bullet"/>
      <w:lvlText w:val=""/>
      <w:lvlJc w:val="left"/>
      <w:pPr>
        <w:ind w:left="360" w:hanging="360"/>
      </w:pPr>
      <w:rPr>
        <w:rFonts w:ascii="Symbol" w:hAnsi="Symbol" w:hint="default"/>
        <w:color w:val="44546A"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9B07AF"/>
    <w:multiLevelType w:val="hybridMultilevel"/>
    <w:tmpl w:val="EC228AAE"/>
    <w:lvl w:ilvl="0" w:tplc="B1BCF3E8">
      <w:start w:val="1"/>
      <w:numFmt w:val="bullet"/>
      <w:lvlText w:val=""/>
      <w:lvlJc w:val="left"/>
      <w:pPr>
        <w:ind w:left="360" w:hanging="360"/>
      </w:pPr>
      <w:rPr>
        <w:rFonts w:ascii="Symbol" w:hAnsi="Symbol" w:hint="default"/>
        <w:color w:val="44546A"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D576BCC"/>
    <w:multiLevelType w:val="hybridMultilevel"/>
    <w:tmpl w:val="2A7891BC"/>
    <w:lvl w:ilvl="0" w:tplc="7F5C5896">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D6412"/>
    <w:multiLevelType w:val="hybridMultilevel"/>
    <w:tmpl w:val="A4C00634"/>
    <w:lvl w:ilvl="0" w:tplc="58204CEC">
      <w:start w:val="1"/>
      <w:numFmt w:val="bullet"/>
      <w:lvlText w:val=""/>
      <w:lvlJc w:val="left"/>
      <w:pPr>
        <w:ind w:left="360" w:hanging="360"/>
      </w:pPr>
      <w:rPr>
        <w:rFonts w:ascii="Symbol" w:hAnsi="Symbol" w:hint="default"/>
        <w:b/>
        <w:color w:val="44546A" w:themeColor="text2"/>
        <w:sz w:val="16"/>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6D0165"/>
    <w:multiLevelType w:val="hybridMultilevel"/>
    <w:tmpl w:val="D556FC6A"/>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C37C51"/>
    <w:multiLevelType w:val="hybridMultilevel"/>
    <w:tmpl w:val="4B707A8A"/>
    <w:lvl w:ilvl="0" w:tplc="96D28A66">
      <w:start w:val="1"/>
      <w:numFmt w:val="decimal"/>
      <w:pStyle w:val="Style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CB4F9B"/>
    <w:multiLevelType w:val="hybridMultilevel"/>
    <w:tmpl w:val="B5D2E0CE"/>
    <w:lvl w:ilvl="0" w:tplc="D66C8E6A">
      <w:start w:val="1"/>
      <w:numFmt w:val="bullet"/>
      <w:lvlText w:val=""/>
      <w:lvlJc w:val="left"/>
      <w:pPr>
        <w:ind w:left="360" w:hanging="360"/>
      </w:pPr>
      <w:rPr>
        <w:rFonts w:ascii="Symbol" w:hAnsi="Symbol" w:hint="default"/>
        <w:color w:val="44546A"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00A539E"/>
    <w:multiLevelType w:val="hybridMultilevel"/>
    <w:tmpl w:val="6EF04DB4"/>
    <w:lvl w:ilvl="0" w:tplc="6E5C2484">
      <w:start w:val="1"/>
      <w:numFmt w:val="bullet"/>
      <w:lvlText w:val=""/>
      <w:lvlJc w:val="left"/>
      <w:pPr>
        <w:ind w:left="502" w:hanging="360"/>
      </w:pPr>
      <w:rPr>
        <w:rFonts w:ascii="Symbol" w:hAnsi="Symbol" w:hint="default"/>
        <w:color w:val="44546A" w:themeColor="text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5A925002"/>
    <w:multiLevelType w:val="hybridMultilevel"/>
    <w:tmpl w:val="A460799A"/>
    <w:lvl w:ilvl="0" w:tplc="93B63B26">
      <w:start w:val="1"/>
      <w:numFmt w:val="upperLetter"/>
      <w:pStyle w:val="Style5"/>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E955FC"/>
    <w:multiLevelType w:val="multilevel"/>
    <w:tmpl w:val="BC9C5D24"/>
    <w:lvl w:ilvl="0">
      <w:start w:val="1"/>
      <w:numFmt w:val="decimal"/>
      <w:lvlText w:val="%1."/>
      <w:lvlJc w:val="left"/>
      <w:pPr>
        <w:ind w:left="720" w:hanging="360"/>
      </w:pPr>
      <w:rPr>
        <w:rFonts w:hint="default"/>
      </w:rPr>
    </w:lvl>
    <w:lvl w:ilvl="1">
      <w:start w:val="1"/>
      <w:numFmt w:val="decimal"/>
      <w:pStyle w:val="Style2"/>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0A69AD"/>
    <w:multiLevelType w:val="hybridMultilevel"/>
    <w:tmpl w:val="409875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3"/>
  </w:num>
  <w:num w:numId="5">
    <w:abstractNumId w:val="13"/>
  </w:num>
  <w:num w:numId="6">
    <w:abstractNumId w:val="0"/>
  </w:num>
  <w:num w:numId="7">
    <w:abstractNumId w:val="15"/>
  </w:num>
  <w:num w:numId="8">
    <w:abstractNumId w:val="4"/>
  </w:num>
  <w:num w:numId="9">
    <w:abstractNumId w:val="1"/>
  </w:num>
  <w:num w:numId="10">
    <w:abstractNumId w:val="10"/>
  </w:num>
  <w:num w:numId="11">
    <w:abstractNumId w:val="9"/>
  </w:num>
  <w:num w:numId="12">
    <w:abstractNumId w:val="6"/>
  </w:num>
  <w:num w:numId="13">
    <w:abstractNumId w:val="7"/>
  </w:num>
  <w:num w:numId="14">
    <w:abstractNumId w:val="11"/>
  </w:num>
  <w:num w:numId="15">
    <w:abstractNumId w:val="8"/>
  </w:num>
  <w:num w:numId="16">
    <w:abstractNumId w:val="1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4C"/>
    <w:rsid w:val="00007273"/>
    <w:rsid w:val="000B3604"/>
    <w:rsid w:val="000C6D5C"/>
    <w:rsid w:val="00157F02"/>
    <w:rsid w:val="00162D55"/>
    <w:rsid w:val="00177290"/>
    <w:rsid w:val="00187719"/>
    <w:rsid w:val="001C7C05"/>
    <w:rsid w:val="001D693D"/>
    <w:rsid w:val="001D69FE"/>
    <w:rsid w:val="002C4B71"/>
    <w:rsid w:val="00330708"/>
    <w:rsid w:val="00332CC8"/>
    <w:rsid w:val="00356100"/>
    <w:rsid w:val="00361443"/>
    <w:rsid w:val="003628A9"/>
    <w:rsid w:val="00364DA0"/>
    <w:rsid w:val="00391E8C"/>
    <w:rsid w:val="003964BA"/>
    <w:rsid w:val="00397A23"/>
    <w:rsid w:val="003A1A52"/>
    <w:rsid w:val="003C5B1A"/>
    <w:rsid w:val="004118BF"/>
    <w:rsid w:val="00421A1A"/>
    <w:rsid w:val="00457B3D"/>
    <w:rsid w:val="004A31B5"/>
    <w:rsid w:val="004F1209"/>
    <w:rsid w:val="00540AAA"/>
    <w:rsid w:val="00582D37"/>
    <w:rsid w:val="005F2ADE"/>
    <w:rsid w:val="00605150"/>
    <w:rsid w:val="0060685B"/>
    <w:rsid w:val="00611301"/>
    <w:rsid w:val="00635924"/>
    <w:rsid w:val="006C0B83"/>
    <w:rsid w:val="006F13E4"/>
    <w:rsid w:val="00741548"/>
    <w:rsid w:val="00765206"/>
    <w:rsid w:val="007753BF"/>
    <w:rsid w:val="0079228E"/>
    <w:rsid w:val="00794683"/>
    <w:rsid w:val="007974B5"/>
    <w:rsid w:val="007D0B0A"/>
    <w:rsid w:val="007D7E4E"/>
    <w:rsid w:val="007E0B3C"/>
    <w:rsid w:val="00826704"/>
    <w:rsid w:val="00850F26"/>
    <w:rsid w:val="008633DA"/>
    <w:rsid w:val="00872990"/>
    <w:rsid w:val="008E0F50"/>
    <w:rsid w:val="008F77A0"/>
    <w:rsid w:val="00921787"/>
    <w:rsid w:val="00960999"/>
    <w:rsid w:val="009709CD"/>
    <w:rsid w:val="009850DF"/>
    <w:rsid w:val="009A3DF5"/>
    <w:rsid w:val="009C19C7"/>
    <w:rsid w:val="009C3260"/>
    <w:rsid w:val="00A14FB2"/>
    <w:rsid w:val="00A5720B"/>
    <w:rsid w:val="00A62D05"/>
    <w:rsid w:val="00A92AF2"/>
    <w:rsid w:val="00AA55D6"/>
    <w:rsid w:val="00AB7710"/>
    <w:rsid w:val="00AC3614"/>
    <w:rsid w:val="00AC606C"/>
    <w:rsid w:val="00B4464C"/>
    <w:rsid w:val="00B65270"/>
    <w:rsid w:val="00BB3350"/>
    <w:rsid w:val="00BE5D77"/>
    <w:rsid w:val="00C264FC"/>
    <w:rsid w:val="00C3240B"/>
    <w:rsid w:val="00C74A14"/>
    <w:rsid w:val="00C77A4E"/>
    <w:rsid w:val="00D06818"/>
    <w:rsid w:val="00D119B4"/>
    <w:rsid w:val="00D225D3"/>
    <w:rsid w:val="00DB368C"/>
    <w:rsid w:val="00E45D95"/>
    <w:rsid w:val="00E63A18"/>
    <w:rsid w:val="00EE3B73"/>
    <w:rsid w:val="00F04979"/>
    <w:rsid w:val="00F07D01"/>
    <w:rsid w:val="00F11282"/>
    <w:rsid w:val="00F149FD"/>
    <w:rsid w:val="00F42233"/>
    <w:rsid w:val="00F56D3A"/>
    <w:rsid w:val="00FA343C"/>
    <w:rsid w:val="00FC1C39"/>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CF03"/>
  <w15:chartTrackingRefBased/>
  <w15:docId w15:val="{8CD9EED4-2276-4518-9BD2-FA5177BC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82"/>
  </w:style>
  <w:style w:type="paragraph" w:styleId="Heading1">
    <w:name w:val="heading 1"/>
    <w:basedOn w:val="Normal"/>
    <w:next w:val="Normal"/>
    <w:link w:val="Heading1Char"/>
    <w:uiPriority w:val="9"/>
    <w:qFormat/>
    <w:rsid w:val="00F11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1128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11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11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11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11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112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28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112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112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1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11282"/>
    <w:rPr>
      <w:rFonts w:asciiTheme="majorHAnsi" w:eastAsiaTheme="majorEastAsia" w:hAnsiTheme="majorHAnsi" w:cstheme="majorBidi"/>
      <w:b/>
      <w:bCs/>
      <w:i/>
      <w:iCs/>
      <w:color w:val="5B9BD5" w:themeColor="accent1"/>
    </w:rPr>
  </w:style>
  <w:style w:type="paragraph" w:styleId="TOC1">
    <w:name w:val="toc 1"/>
    <w:basedOn w:val="Normal"/>
    <w:uiPriority w:val="39"/>
    <w:rsid w:val="00B4464C"/>
    <w:pPr>
      <w:widowControl w:val="0"/>
      <w:autoSpaceDE w:val="0"/>
      <w:autoSpaceDN w:val="0"/>
      <w:spacing w:before="120" w:after="0" w:line="240" w:lineRule="auto"/>
    </w:pPr>
    <w:rPr>
      <w:rFonts w:eastAsia="Calibri" w:cstheme="minorHAnsi"/>
      <w:b/>
      <w:bCs/>
      <w:i/>
      <w:iCs/>
      <w:sz w:val="24"/>
      <w:szCs w:val="24"/>
      <w:lang w:val="fr-FR"/>
    </w:rPr>
  </w:style>
  <w:style w:type="paragraph" w:styleId="TOC2">
    <w:name w:val="toc 2"/>
    <w:basedOn w:val="Normal"/>
    <w:uiPriority w:val="1"/>
    <w:rsid w:val="00B4464C"/>
    <w:pPr>
      <w:widowControl w:val="0"/>
      <w:autoSpaceDE w:val="0"/>
      <w:autoSpaceDN w:val="0"/>
      <w:spacing w:before="120" w:after="0" w:line="240" w:lineRule="auto"/>
      <w:ind w:left="220"/>
    </w:pPr>
    <w:rPr>
      <w:rFonts w:eastAsia="Calibri" w:cstheme="minorHAnsi"/>
      <w:b/>
      <w:bCs/>
      <w:lang w:val="fr-FR"/>
    </w:rPr>
  </w:style>
  <w:style w:type="paragraph" w:styleId="TOC3">
    <w:name w:val="toc 3"/>
    <w:basedOn w:val="Normal"/>
    <w:uiPriority w:val="39"/>
    <w:rsid w:val="00B4464C"/>
    <w:pPr>
      <w:widowControl w:val="0"/>
      <w:autoSpaceDE w:val="0"/>
      <w:autoSpaceDN w:val="0"/>
      <w:spacing w:after="0" w:line="240" w:lineRule="auto"/>
      <w:ind w:left="440"/>
    </w:pPr>
    <w:rPr>
      <w:rFonts w:eastAsia="Calibri" w:cstheme="minorHAnsi"/>
      <w:sz w:val="20"/>
      <w:szCs w:val="20"/>
      <w:lang w:val="fr-FR"/>
    </w:rPr>
  </w:style>
  <w:style w:type="paragraph" w:styleId="BodyText">
    <w:name w:val="Body Text"/>
    <w:basedOn w:val="Normal"/>
    <w:link w:val="BodyTextChar"/>
    <w:uiPriority w:val="1"/>
    <w:rsid w:val="00B4464C"/>
    <w:pPr>
      <w:widowControl w:val="0"/>
      <w:autoSpaceDE w:val="0"/>
      <w:autoSpaceDN w:val="0"/>
      <w:spacing w:after="0" w:line="240" w:lineRule="auto"/>
    </w:pPr>
    <w:rPr>
      <w:rFonts w:ascii="Calibri" w:eastAsia="Calibri" w:hAnsi="Calibri" w:cs="Calibri"/>
      <w:lang w:val="fr-FR"/>
    </w:rPr>
  </w:style>
  <w:style w:type="character" w:customStyle="1" w:styleId="BodyTextChar">
    <w:name w:val="Body Text Char"/>
    <w:basedOn w:val="DefaultParagraphFont"/>
    <w:link w:val="BodyText"/>
    <w:uiPriority w:val="1"/>
    <w:rsid w:val="00B4464C"/>
    <w:rPr>
      <w:rFonts w:ascii="Calibri" w:eastAsia="Calibri" w:hAnsi="Calibri" w:cs="Calibri"/>
      <w:lang w:val="fr-FR"/>
    </w:rPr>
  </w:style>
  <w:style w:type="paragraph" w:styleId="ListParagraph">
    <w:name w:val="List Paragraph"/>
    <w:aliases w:val="References"/>
    <w:basedOn w:val="Normal"/>
    <w:link w:val="ListParagraphChar"/>
    <w:uiPriority w:val="34"/>
    <w:qFormat/>
    <w:rsid w:val="00B4464C"/>
    <w:pPr>
      <w:ind w:left="720"/>
      <w:contextualSpacing/>
    </w:pPr>
  </w:style>
  <w:style w:type="paragraph" w:customStyle="1" w:styleId="TableParagraph">
    <w:name w:val="Table Paragraph"/>
    <w:basedOn w:val="Normal"/>
    <w:uiPriority w:val="1"/>
    <w:rsid w:val="00B4464C"/>
    <w:pPr>
      <w:widowControl w:val="0"/>
      <w:autoSpaceDE w:val="0"/>
      <w:autoSpaceDN w:val="0"/>
      <w:spacing w:before="44" w:after="0" w:line="240" w:lineRule="auto"/>
      <w:ind w:left="110"/>
    </w:pPr>
    <w:rPr>
      <w:rFonts w:ascii="Calibri" w:eastAsia="Calibri" w:hAnsi="Calibri" w:cs="Calibri"/>
      <w:lang w:val="fr-FR"/>
    </w:rPr>
  </w:style>
  <w:style w:type="paragraph" w:styleId="BalloonText">
    <w:name w:val="Balloon Text"/>
    <w:basedOn w:val="Normal"/>
    <w:link w:val="BalloonTextChar"/>
    <w:uiPriority w:val="99"/>
    <w:semiHidden/>
    <w:unhideWhenUsed/>
    <w:rsid w:val="00B4464C"/>
    <w:pPr>
      <w:widowControl w:val="0"/>
      <w:autoSpaceDE w:val="0"/>
      <w:autoSpaceDN w:val="0"/>
      <w:spacing w:after="0" w:line="240" w:lineRule="auto"/>
    </w:pPr>
    <w:rPr>
      <w:rFonts w:ascii="Times New Roman" w:eastAsia="Calibri" w:hAnsi="Times New Roman" w:cs="Times New Roman"/>
      <w:sz w:val="18"/>
      <w:szCs w:val="18"/>
      <w:lang w:val="fr-FR"/>
    </w:rPr>
  </w:style>
  <w:style w:type="character" w:customStyle="1" w:styleId="BalloonTextChar">
    <w:name w:val="Balloon Text Char"/>
    <w:basedOn w:val="DefaultParagraphFont"/>
    <w:link w:val="BalloonText"/>
    <w:uiPriority w:val="99"/>
    <w:semiHidden/>
    <w:rsid w:val="00B4464C"/>
    <w:rPr>
      <w:rFonts w:ascii="Times New Roman" w:eastAsia="Calibri" w:hAnsi="Times New Roman" w:cs="Times New Roman"/>
      <w:sz w:val="18"/>
      <w:szCs w:val="18"/>
      <w:lang w:val="fr-FR"/>
    </w:rPr>
  </w:style>
  <w:style w:type="paragraph" w:styleId="Header">
    <w:name w:val="header"/>
    <w:basedOn w:val="Normal"/>
    <w:link w:val="HeaderChar"/>
    <w:uiPriority w:val="99"/>
    <w:unhideWhenUsed/>
    <w:rsid w:val="00B4464C"/>
    <w:pPr>
      <w:widowControl w:val="0"/>
      <w:tabs>
        <w:tab w:val="center" w:pos="4536"/>
        <w:tab w:val="right" w:pos="9072"/>
      </w:tabs>
      <w:autoSpaceDE w:val="0"/>
      <w:autoSpaceDN w:val="0"/>
      <w:spacing w:after="0" w:line="240" w:lineRule="auto"/>
    </w:pPr>
    <w:rPr>
      <w:rFonts w:ascii="Calibri" w:eastAsia="Calibri" w:hAnsi="Calibri" w:cs="Calibri"/>
      <w:lang w:val="fr-FR"/>
    </w:rPr>
  </w:style>
  <w:style w:type="character" w:customStyle="1" w:styleId="HeaderChar">
    <w:name w:val="Header Char"/>
    <w:basedOn w:val="DefaultParagraphFont"/>
    <w:link w:val="Header"/>
    <w:uiPriority w:val="99"/>
    <w:rsid w:val="00B4464C"/>
    <w:rPr>
      <w:rFonts w:ascii="Calibri" w:eastAsia="Calibri" w:hAnsi="Calibri" w:cs="Calibri"/>
      <w:lang w:val="fr-FR"/>
    </w:rPr>
  </w:style>
  <w:style w:type="paragraph" w:styleId="Footer">
    <w:name w:val="footer"/>
    <w:basedOn w:val="Normal"/>
    <w:link w:val="FooterChar"/>
    <w:uiPriority w:val="99"/>
    <w:unhideWhenUsed/>
    <w:rsid w:val="00B4464C"/>
    <w:pPr>
      <w:widowControl w:val="0"/>
      <w:tabs>
        <w:tab w:val="center" w:pos="4536"/>
        <w:tab w:val="right" w:pos="9072"/>
      </w:tabs>
      <w:autoSpaceDE w:val="0"/>
      <w:autoSpaceDN w:val="0"/>
      <w:spacing w:after="0" w:line="240" w:lineRule="auto"/>
    </w:pPr>
    <w:rPr>
      <w:rFonts w:ascii="Calibri" w:eastAsia="Calibri" w:hAnsi="Calibri" w:cs="Calibri"/>
      <w:lang w:val="fr-FR"/>
    </w:rPr>
  </w:style>
  <w:style w:type="character" w:customStyle="1" w:styleId="FooterChar">
    <w:name w:val="Footer Char"/>
    <w:basedOn w:val="DefaultParagraphFont"/>
    <w:link w:val="Footer"/>
    <w:uiPriority w:val="99"/>
    <w:rsid w:val="00B4464C"/>
    <w:rPr>
      <w:rFonts w:ascii="Calibri" w:eastAsia="Calibri" w:hAnsi="Calibri" w:cs="Calibri"/>
      <w:lang w:val="fr-FR"/>
    </w:rPr>
  </w:style>
  <w:style w:type="paragraph" w:styleId="TOCHeading">
    <w:name w:val="TOC Heading"/>
    <w:basedOn w:val="Heading1"/>
    <w:next w:val="Normal"/>
    <w:uiPriority w:val="39"/>
    <w:unhideWhenUsed/>
    <w:qFormat/>
    <w:rsid w:val="00F11282"/>
    <w:pPr>
      <w:outlineLvl w:val="9"/>
    </w:pPr>
  </w:style>
  <w:style w:type="character" w:styleId="Hyperlink">
    <w:name w:val="Hyperlink"/>
    <w:basedOn w:val="DefaultParagraphFont"/>
    <w:uiPriority w:val="99"/>
    <w:unhideWhenUsed/>
    <w:rsid w:val="00B4464C"/>
    <w:rPr>
      <w:color w:val="0563C1" w:themeColor="hyperlink"/>
      <w:u w:val="single"/>
    </w:rPr>
  </w:style>
  <w:style w:type="paragraph" w:styleId="TOC4">
    <w:name w:val="toc 4"/>
    <w:basedOn w:val="Normal"/>
    <w:next w:val="Normal"/>
    <w:autoRedefine/>
    <w:uiPriority w:val="39"/>
    <w:semiHidden/>
    <w:unhideWhenUsed/>
    <w:rsid w:val="00B4464C"/>
    <w:pPr>
      <w:widowControl w:val="0"/>
      <w:autoSpaceDE w:val="0"/>
      <w:autoSpaceDN w:val="0"/>
      <w:spacing w:after="0" w:line="240" w:lineRule="auto"/>
      <w:ind w:left="660"/>
    </w:pPr>
    <w:rPr>
      <w:rFonts w:eastAsia="Calibri" w:cstheme="minorHAnsi"/>
      <w:sz w:val="20"/>
      <w:szCs w:val="20"/>
      <w:lang w:val="fr-FR"/>
    </w:rPr>
  </w:style>
  <w:style w:type="paragraph" w:styleId="TOC5">
    <w:name w:val="toc 5"/>
    <w:basedOn w:val="Normal"/>
    <w:next w:val="Normal"/>
    <w:autoRedefine/>
    <w:uiPriority w:val="39"/>
    <w:semiHidden/>
    <w:unhideWhenUsed/>
    <w:rsid w:val="00B4464C"/>
    <w:pPr>
      <w:widowControl w:val="0"/>
      <w:autoSpaceDE w:val="0"/>
      <w:autoSpaceDN w:val="0"/>
      <w:spacing w:after="0" w:line="240" w:lineRule="auto"/>
      <w:ind w:left="880"/>
    </w:pPr>
    <w:rPr>
      <w:rFonts w:eastAsia="Calibri" w:cstheme="minorHAnsi"/>
      <w:sz w:val="20"/>
      <w:szCs w:val="20"/>
      <w:lang w:val="fr-FR"/>
    </w:rPr>
  </w:style>
  <w:style w:type="paragraph" w:styleId="TOC6">
    <w:name w:val="toc 6"/>
    <w:basedOn w:val="Normal"/>
    <w:next w:val="Normal"/>
    <w:autoRedefine/>
    <w:uiPriority w:val="39"/>
    <w:semiHidden/>
    <w:unhideWhenUsed/>
    <w:rsid w:val="00B4464C"/>
    <w:pPr>
      <w:widowControl w:val="0"/>
      <w:autoSpaceDE w:val="0"/>
      <w:autoSpaceDN w:val="0"/>
      <w:spacing w:after="0" w:line="240" w:lineRule="auto"/>
      <w:ind w:left="1100"/>
    </w:pPr>
    <w:rPr>
      <w:rFonts w:eastAsia="Calibri" w:cstheme="minorHAnsi"/>
      <w:sz w:val="20"/>
      <w:szCs w:val="20"/>
      <w:lang w:val="fr-FR"/>
    </w:rPr>
  </w:style>
  <w:style w:type="paragraph" w:styleId="TOC7">
    <w:name w:val="toc 7"/>
    <w:basedOn w:val="Normal"/>
    <w:next w:val="Normal"/>
    <w:autoRedefine/>
    <w:uiPriority w:val="39"/>
    <w:semiHidden/>
    <w:unhideWhenUsed/>
    <w:rsid w:val="00B4464C"/>
    <w:pPr>
      <w:widowControl w:val="0"/>
      <w:autoSpaceDE w:val="0"/>
      <w:autoSpaceDN w:val="0"/>
      <w:spacing w:after="0" w:line="240" w:lineRule="auto"/>
      <w:ind w:left="1320"/>
    </w:pPr>
    <w:rPr>
      <w:rFonts w:eastAsia="Calibri" w:cstheme="minorHAnsi"/>
      <w:sz w:val="20"/>
      <w:szCs w:val="20"/>
      <w:lang w:val="fr-FR"/>
    </w:rPr>
  </w:style>
  <w:style w:type="paragraph" w:styleId="TOC8">
    <w:name w:val="toc 8"/>
    <w:basedOn w:val="Normal"/>
    <w:next w:val="Normal"/>
    <w:autoRedefine/>
    <w:uiPriority w:val="39"/>
    <w:semiHidden/>
    <w:unhideWhenUsed/>
    <w:rsid w:val="00B4464C"/>
    <w:pPr>
      <w:widowControl w:val="0"/>
      <w:autoSpaceDE w:val="0"/>
      <w:autoSpaceDN w:val="0"/>
      <w:spacing w:after="0" w:line="240" w:lineRule="auto"/>
      <w:ind w:left="1540"/>
    </w:pPr>
    <w:rPr>
      <w:rFonts w:eastAsia="Calibri" w:cstheme="minorHAnsi"/>
      <w:sz w:val="20"/>
      <w:szCs w:val="20"/>
      <w:lang w:val="fr-FR"/>
    </w:rPr>
  </w:style>
  <w:style w:type="paragraph" w:styleId="TOC9">
    <w:name w:val="toc 9"/>
    <w:basedOn w:val="Normal"/>
    <w:next w:val="Normal"/>
    <w:autoRedefine/>
    <w:uiPriority w:val="39"/>
    <w:semiHidden/>
    <w:unhideWhenUsed/>
    <w:rsid w:val="00B4464C"/>
    <w:pPr>
      <w:widowControl w:val="0"/>
      <w:autoSpaceDE w:val="0"/>
      <w:autoSpaceDN w:val="0"/>
      <w:spacing w:after="0" w:line="240" w:lineRule="auto"/>
      <w:ind w:left="1760"/>
    </w:pPr>
    <w:rPr>
      <w:rFonts w:eastAsia="Calibri" w:cstheme="minorHAnsi"/>
      <w:sz w:val="20"/>
      <w:szCs w:val="20"/>
      <w:lang w:val="fr-FR"/>
    </w:rPr>
  </w:style>
  <w:style w:type="character" w:styleId="CommentReference">
    <w:name w:val="annotation reference"/>
    <w:basedOn w:val="DefaultParagraphFont"/>
    <w:uiPriority w:val="99"/>
    <w:semiHidden/>
    <w:unhideWhenUsed/>
    <w:rsid w:val="00B4464C"/>
    <w:rPr>
      <w:sz w:val="16"/>
      <w:szCs w:val="16"/>
    </w:rPr>
  </w:style>
  <w:style w:type="paragraph" w:styleId="CommentText">
    <w:name w:val="annotation text"/>
    <w:basedOn w:val="Normal"/>
    <w:link w:val="CommentTextChar"/>
    <w:uiPriority w:val="99"/>
    <w:unhideWhenUsed/>
    <w:rsid w:val="00B4464C"/>
    <w:pPr>
      <w:widowControl w:val="0"/>
      <w:autoSpaceDE w:val="0"/>
      <w:autoSpaceDN w:val="0"/>
      <w:spacing w:after="0" w:line="240" w:lineRule="auto"/>
    </w:pPr>
    <w:rPr>
      <w:rFonts w:ascii="Calibri" w:eastAsia="Calibri" w:hAnsi="Calibri" w:cs="Calibri"/>
      <w:sz w:val="20"/>
      <w:szCs w:val="20"/>
      <w:lang w:val="fr-FR"/>
    </w:rPr>
  </w:style>
  <w:style w:type="character" w:customStyle="1" w:styleId="CommentTextChar">
    <w:name w:val="Comment Text Char"/>
    <w:basedOn w:val="DefaultParagraphFont"/>
    <w:link w:val="CommentText"/>
    <w:uiPriority w:val="99"/>
    <w:rsid w:val="00B4464C"/>
    <w:rPr>
      <w:rFonts w:ascii="Calibri" w:eastAsia="Calibri"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B4464C"/>
    <w:rPr>
      <w:b/>
      <w:bCs/>
    </w:rPr>
  </w:style>
  <w:style w:type="character" w:customStyle="1" w:styleId="CommentSubjectChar">
    <w:name w:val="Comment Subject Char"/>
    <w:basedOn w:val="CommentTextChar"/>
    <w:link w:val="CommentSubject"/>
    <w:uiPriority w:val="99"/>
    <w:semiHidden/>
    <w:rsid w:val="00B4464C"/>
    <w:rPr>
      <w:rFonts w:ascii="Calibri" w:eastAsia="Calibri" w:hAnsi="Calibri" w:cs="Calibri"/>
      <w:b/>
      <w:bCs/>
      <w:sz w:val="20"/>
      <w:szCs w:val="20"/>
      <w:lang w:val="fr-FR"/>
    </w:rPr>
  </w:style>
  <w:style w:type="paragraph" w:styleId="Revision">
    <w:name w:val="Revision"/>
    <w:hidden/>
    <w:uiPriority w:val="99"/>
    <w:semiHidden/>
    <w:rsid w:val="00B4464C"/>
    <w:pPr>
      <w:spacing w:after="0" w:line="240" w:lineRule="auto"/>
    </w:pPr>
    <w:rPr>
      <w:rFonts w:ascii="Calibri" w:eastAsia="Calibri" w:hAnsi="Calibri" w:cs="Calibri"/>
    </w:rPr>
  </w:style>
  <w:style w:type="table" w:styleId="TableGrid">
    <w:name w:val="Table Grid"/>
    <w:basedOn w:val="TableNormal"/>
    <w:uiPriority w:val="59"/>
    <w:rsid w:val="00B4464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1282"/>
    <w:pPr>
      <w:spacing w:line="240" w:lineRule="auto"/>
    </w:pPr>
    <w:rPr>
      <w:b/>
      <w:bCs/>
      <w:color w:val="5B9BD5" w:themeColor="accent1"/>
      <w:sz w:val="18"/>
      <w:szCs w:val="18"/>
    </w:rPr>
  </w:style>
  <w:style w:type="character" w:customStyle="1" w:styleId="ListParagraphChar">
    <w:name w:val="List Paragraph Char"/>
    <w:aliases w:val="References Char"/>
    <w:link w:val="ListParagraph"/>
    <w:uiPriority w:val="34"/>
    <w:locked/>
    <w:rsid w:val="00B4464C"/>
  </w:style>
  <w:style w:type="character" w:styleId="LineNumber">
    <w:name w:val="line number"/>
    <w:basedOn w:val="DefaultParagraphFont"/>
    <w:uiPriority w:val="99"/>
    <w:semiHidden/>
    <w:unhideWhenUsed/>
    <w:rsid w:val="00B4464C"/>
  </w:style>
  <w:style w:type="paragraph" w:customStyle="1" w:styleId="JhpBodyText">
    <w:name w:val="Jhp_Body Text"/>
    <w:basedOn w:val="Normal"/>
    <w:link w:val="JhpBodyTextChar"/>
    <w:qFormat/>
    <w:rsid w:val="00B4464C"/>
    <w:pPr>
      <w:spacing w:after="0" w:line="240" w:lineRule="auto"/>
    </w:pPr>
    <w:rPr>
      <w:color w:val="000000" w:themeColor="text1"/>
    </w:rPr>
  </w:style>
  <w:style w:type="character" w:customStyle="1" w:styleId="JhpBodyTextChar">
    <w:name w:val="Jhp_Body Text Char"/>
    <w:basedOn w:val="DefaultParagraphFont"/>
    <w:link w:val="JhpBodyText"/>
    <w:rsid w:val="00B4464C"/>
    <w:rPr>
      <w:color w:val="000000" w:themeColor="text1"/>
    </w:rPr>
  </w:style>
  <w:style w:type="paragraph" w:customStyle="1" w:styleId="JhpBulletLevel1bl1">
    <w:name w:val="Jhp_Bullet Level 1&lt;bl1&gt;"/>
    <w:basedOn w:val="Normal"/>
    <w:qFormat/>
    <w:rsid w:val="00B4464C"/>
    <w:pPr>
      <w:spacing w:before="120" w:after="0" w:line="240" w:lineRule="auto"/>
    </w:pPr>
    <w:rPr>
      <w:rFonts w:eastAsia="Calibri" w:cs="Times New Roman"/>
      <w:color w:val="000000" w:themeColor="text1"/>
    </w:rPr>
  </w:style>
  <w:style w:type="paragraph" w:customStyle="1" w:styleId="Style1">
    <w:name w:val="Style1"/>
    <w:basedOn w:val="Heading1"/>
    <w:link w:val="Style1Char"/>
    <w:uiPriority w:val="1"/>
    <w:rsid w:val="00B4464C"/>
    <w:pPr>
      <w:jc w:val="both"/>
    </w:pPr>
    <w:rPr>
      <w:rFonts w:ascii="Times New Roman" w:hAnsi="Times New Roman" w:cs="Times New Roman"/>
      <w:b w:val="0"/>
      <w:color w:val="323E4F" w:themeColor="text2" w:themeShade="BF"/>
      <w:sz w:val="24"/>
      <w:szCs w:val="24"/>
    </w:rPr>
  </w:style>
  <w:style w:type="character" w:customStyle="1" w:styleId="Style1Char">
    <w:name w:val="Style1 Char"/>
    <w:basedOn w:val="Heading1Char"/>
    <w:link w:val="Style1"/>
    <w:uiPriority w:val="1"/>
    <w:rsid w:val="00B4464C"/>
    <w:rPr>
      <w:rFonts w:ascii="Times New Roman" w:eastAsia="Calibri Light" w:hAnsi="Times New Roman" w:cs="Times New Roman"/>
      <w:b w:val="0"/>
      <w:bCs/>
      <w:color w:val="323E4F" w:themeColor="text2" w:themeShade="BF"/>
      <w:sz w:val="24"/>
      <w:szCs w:val="24"/>
      <w:lang w:val="fr-FR"/>
    </w:rPr>
  </w:style>
  <w:style w:type="paragraph" w:customStyle="1" w:styleId="Style2">
    <w:name w:val="Style2"/>
    <w:basedOn w:val="ListParagraph"/>
    <w:link w:val="Style2Char"/>
    <w:rsid w:val="00F42233"/>
    <w:pPr>
      <w:numPr>
        <w:ilvl w:val="1"/>
        <w:numId w:val="2"/>
      </w:numPr>
      <w:jc w:val="both"/>
    </w:pPr>
    <w:rPr>
      <w:rFonts w:ascii="Times New Roman" w:hAnsi="Times New Roman" w:cs="Times New Roman"/>
      <w:b/>
      <w:sz w:val="24"/>
      <w:szCs w:val="24"/>
    </w:rPr>
  </w:style>
  <w:style w:type="character" w:customStyle="1" w:styleId="Style2Char">
    <w:name w:val="Style2 Char"/>
    <w:basedOn w:val="ListParagraphChar"/>
    <w:link w:val="Style2"/>
    <w:rsid w:val="00F42233"/>
    <w:rPr>
      <w:rFonts w:ascii="Times New Roman" w:hAnsi="Times New Roman" w:cs="Times New Roman"/>
      <w:b/>
      <w:sz w:val="24"/>
      <w:szCs w:val="24"/>
    </w:rPr>
  </w:style>
  <w:style w:type="character" w:customStyle="1" w:styleId="Heading5Char">
    <w:name w:val="Heading 5 Char"/>
    <w:basedOn w:val="DefaultParagraphFont"/>
    <w:link w:val="Heading5"/>
    <w:uiPriority w:val="9"/>
    <w:semiHidden/>
    <w:rsid w:val="00F11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11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112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128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1128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1128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1128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1128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1128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11282"/>
    <w:rPr>
      <w:b/>
      <w:bCs/>
    </w:rPr>
  </w:style>
  <w:style w:type="character" w:styleId="Emphasis">
    <w:name w:val="Emphasis"/>
    <w:basedOn w:val="DefaultParagraphFont"/>
    <w:uiPriority w:val="20"/>
    <w:qFormat/>
    <w:rsid w:val="00F11282"/>
    <w:rPr>
      <w:i/>
      <w:iCs/>
    </w:rPr>
  </w:style>
  <w:style w:type="paragraph" w:styleId="NoSpacing">
    <w:name w:val="No Spacing"/>
    <w:uiPriority w:val="1"/>
    <w:qFormat/>
    <w:rsid w:val="00F11282"/>
    <w:pPr>
      <w:spacing w:after="0" w:line="240" w:lineRule="auto"/>
    </w:pPr>
  </w:style>
  <w:style w:type="paragraph" w:styleId="Quote">
    <w:name w:val="Quote"/>
    <w:basedOn w:val="Normal"/>
    <w:next w:val="Normal"/>
    <w:link w:val="QuoteChar"/>
    <w:uiPriority w:val="29"/>
    <w:qFormat/>
    <w:rsid w:val="00F11282"/>
    <w:rPr>
      <w:i/>
      <w:iCs/>
      <w:color w:val="000000" w:themeColor="text1"/>
    </w:rPr>
  </w:style>
  <w:style w:type="character" w:customStyle="1" w:styleId="QuoteChar">
    <w:name w:val="Quote Char"/>
    <w:basedOn w:val="DefaultParagraphFont"/>
    <w:link w:val="Quote"/>
    <w:uiPriority w:val="29"/>
    <w:rsid w:val="00F11282"/>
    <w:rPr>
      <w:i/>
      <w:iCs/>
      <w:color w:val="000000" w:themeColor="text1"/>
    </w:rPr>
  </w:style>
  <w:style w:type="paragraph" w:styleId="IntenseQuote">
    <w:name w:val="Intense Quote"/>
    <w:basedOn w:val="Normal"/>
    <w:next w:val="Normal"/>
    <w:link w:val="IntenseQuoteChar"/>
    <w:uiPriority w:val="30"/>
    <w:qFormat/>
    <w:rsid w:val="00F1128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11282"/>
    <w:rPr>
      <w:b/>
      <w:bCs/>
      <w:i/>
      <w:iCs/>
      <w:color w:val="5B9BD5" w:themeColor="accent1"/>
    </w:rPr>
  </w:style>
  <w:style w:type="character" w:styleId="SubtleEmphasis">
    <w:name w:val="Subtle Emphasis"/>
    <w:basedOn w:val="DefaultParagraphFont"/>
    <w:uiPriority w:val="19"/>
    <w:qFormat/>
    <w:rsid w:val="00F11282"/>
    <w:rPr>
      <w:i/>
      <w:iCs/>
      <w:color w:val="808080" w:themeColor="text1" w:themeTint="7F"/>
    </w:rPr>
  </w:style>
  <w:style w:type="character" w:styleId="IntenseEmphasis">
    <w:name w:val="Intense Emphasis"/>
    <w:basedOn w:val="DefaultParagraphFont"/>
    <w:uiPriority w:val="21"/>
    <w:qFormat/>
    <w:rsid w:val="00F11282"/>
    <w:rPr>
      <w:b/>
      <w:bCs/>
      <w:i/>
      <w:iCs/>
      <w:color w:val="5B9BD5" w:themeColor="accent1"/>
    </w:rPr>
  </w:style>
  <w:style w:type="character" w:styleId="SubtleReference">
    <w:name w:val="Subtle Reference"/>
    <w:basedOn w:val="DefaultParagraphFont"/>
    <w:uiPriority w:val="31"/>
    <w:qFormat/>
    <w:rsid w:val="00F11282"/>
    <w:rPr>
      <w:smallCaps/>
      <w:color w:val="ED7D31" w:themeColor="accent2"/>
      <w:u w:val="single"/>
    </w:rPr>
  </w:style>
  <w:style w:type="character" w:styleId="IntenseReference">
    <w:name w:val="Intense Reference"/>
    <w:basedOn w:val="DefaultParagraphFont"/>
    <w:uiPriority w:val="32"/>
    <w:qFormat/>
    <w:rsid w:val="00F11282"/>
    <w:rPr>
      <w:b/>
      <w:bCs/>
      <w:smallCaps/>
      <w:color w:val="ED7D31" w:themeColor="accent2"/>
      <w:spacing w:val="5"/>
      <w:u w:val="single"/>
    </w:rPr>
  </w:style>
  <w:style w:type="character" w:styleId="BookTitle">
    <w:name w:val="Book Title"/>
    <w:basedOn w:val="DefaultParagraphFont"/>
    <w:uiPriority w:val="33"/>
    <w:qFormat/>
    <w:rsid w:val="00F11282"/>
    <w:rPr>
      <w:b/>
      <w:bCs/>
      <w:smallCaps/>
      <w:spacing w:val="5"/>
    </w:rPr>
  </w:style>
  <w:style w:type="paragraph" w:customStyle="1" w:styleId="JhpChapterTitlect">
    <w:name w:val="Jhp_ChapterTitle&lt;ct&gt;"/>
    <w:link w:val="JhpChapterTitlectChar"/>
    <w:qFormat/>
    <w:rsid w:val="00F11282"/>
    <w:pPr>
      <w:pBdr>
        <w:bottom w:val="dotted" w:sz="8" w:space="1" w:color="44546A" w:themeColor="text2"/>
      </w:pBdr>
      <w:spacing w:after="240" w:line="240" w:lineRule="auto"/>
    </w:pPr>
    <w:rPr>
      <w:rFonts w:eastAsiaTheme="minorHAnsi"/>
      <w:b/>
      <w:color w:val="44546A" w:themeColor="text2"/>
      <w:sz w:val="40"/>
    </w:rPr>
  </w:style>
  <w:style w:type="character" w:customStyle="1" w:styleId="JhpChapterTitlectChar">
    <w:name w:val="Jhp_ChapterTitle&lt;ct&gt; Char"/>
    <w:basedOn w:val="DefaultParagraphFont"/>
    <w:link w:val="JhpChapterTitlect"/>
    <w:rsid w:val="00F11282"/>
    <w:rPr>
      <w:rFonts w:eastAsiaTheme="minorHAnsi"/>
      <w:b/>
      <w:color w:val="44546A" w:themeColor="text2"/>
      <w:sz w:val="40"/>
    </w:rPr>
  </w:style>
  <w:style w:type="paragraph" w:customStyle="1" w:styleId="Jhp1stLevelHeadingh1">
    <w:name w:val="Jhp_1st Level Heading&lt;h1&gt;"/>
    <w:basedOn w:val="Normal"/>
    <w:link w:val="Jhp1stLevelHeadingh1Char"/>
    <w:qFormat/>
    <w:rsid w:val="00A5720B"/>
    <w:pPr>
      <w:spacing w:before="120" w:after="60" w:line="240" w:lineRule="auto"/>
    </w:pPr>
    <w:rPr>
      <w:rFonts w:eastAsiaTheme="minorHAnsi"/>
      <w:b/>
      <w:color w:val="44546A" w:themeColor="text2"/>
      <w:sz w:val="28"/>
      <w:szCs w:val="28"/>
    </w:rPr>
  </w:style>
  <w:style w:type="paragraph" w:customStyle="1" w:styleId="Style3">
    <w:name w:val="Style3"/>
    <w:basedOn w:val="JhpChapterTitlect"/>
    <w:link w:val="Style3Char"/>
    <w:qFormat/>
    <w:rsid w:val="007E0B3C"/>
  </w:style>
  <w:style w:type="paragraph" w:customStyle="1" w:styleId="Style4">
    <w:name w:val="Style4"/>
    <w:basedOn w:val="ListParagraph"/>
    <w:link w:val="Style4Char"/>
    <w:qFormat/>
    <w:rsid w:val="00391E8C"/>
    <w:pPr>
      <w:numPr>
        <w:numId w:val="10"/>
      </w:numPr>
      <w:jc w:val="both"/>
    </w:pPr>
    <w:rPr>
      <w:rFonts w:eastAsiaTheme="minorHAnsi"/>
      <w:b/>
      <w:color w:val="44546A" w:themeColor="text2"/>
      <w:sz w:val="24"/>
      <w:u w:color="000000"/>
      <w:bdr w:val="nil"/>
      <w:lang w:val="fr-FR"/>
    </w:rPr>
  </w:style>
  <w:style w:type="character" w:customStyle="1" w:styleId="Style3Char">
    <w:name w:val="Style3 Char"/>
    <w:basedOn w:val="JhpChapterTitlectChar"/>
    <w:link w:val="Style3"/>
    <w:rsid w:val="007E0B3C"/>
    <w:rPr>
      <w:rFonts w:eastAsiaTheme="minorHAnsi"/>
      <w:b/>
      <w:color w:val="44546A" w:themeColor="text2"/>
      <w:sz w:val="40"/>
    </w:rPr>
  </w:style>
  <w:style w:type="paragraph" w:customStyle="1" w:styleId="Style5">
    <w:name w:val="Style5"/>
    <w:basedOn w:val="Jhp1stLevelHeadingh1"/>
    <w:link w:val="Style5Char"/>
    <w:qFormat/>
    <w:rsid w:val="00177290"/>
    <w:pPr>
      <w:numPr>
        <w:numId w:val="5"/>
      </w:numPr>
      <w:tabs>
        <w:tab w:val="left" w:pos="426"/>
      </w:tabs>
    </w:pPr>
    <w:rPr>
      <w:sz w:val="24"/>
      <w:szCs w:val="26"/>
      <w:lang w:val="fr-FR"/>
    </w:rPr>
  </w:style>
  <w:style w:type="character" w:customStyle="1" w:styleId="Style4Char">
    <w:name w:val="Style4 Char"/>
    <w:basedOn w:val="ListParagraphChar"/>
    <w:link w:val="Style4"/>
    <w:rsid w:val="00391E8C"/>
    <w:rPr>
      <w:rFonts w:eastAsiaTheme="minorHAnsi"/>
      <w:b/>
      <w:color w:val="44546A" w:themeColor="text2"/>
      <w:sz w:val="24"/>
      <w:u w:color="000000"/>
      <w:bdr w:val="nil"/>
      <w:lang w:val="fr-FR"/>
    </w:rPr>
  </w:style>
  <w:style w:type="character" w:customStyle="1" w:styleId="Jhp1stLevelHeadingh1Char">
    <w:name w:val="Jhp_1st Level Heading&lt;h1&gt; Char"/>
    <w:basedOn w:val="DefaultParagraphFont"/>
    <w:link w:val="Jhp1stLevelHeadingh1"/>
    <w:rsid w:val="00177290"/>
    <w:rPr>
      <w:rFonts w:eastAsiaTheme="minorHAnsi"/>
      <w:b/>
      <w:color w:val="44546A" w:themeColor="text2"/>
      <w:sz w:val="28"/>
      <w:szCs w:val="28"/>
    </w:rPr>
  </w:style>
  <w:style w:type="character" w:customStyle="1" w:styleId="Style5Char">
    <w:name w:val="Style5 Char"/>
    <w:basedOn w:val="Jhp1stLevelHeadingh1Char"/>
    <w:link w:val="Style5"/>
    <w:rsid w:val="00177290"/>
    <w:rPr>
      <w:rFonts w:eastAsiaTheme="minorHAnsi"/>
      <w:b/>
      <w:color w:val="44546A" w:themeColor="text2"/>
      <w:sz w:val="24"/>
      <w:szCs w:val="26"/>
      <w:lang w:val="fr-FR"/>
    </w:rPr>
  </w:style>
  <w:style w:type="paragraph" w:customStyle="1" w:styleId="JhpFooter">
    <w:name w:val="Jhp_Footer"/>
    <w:basedOn w:val="Footer"/>
    <w:qFormat/>
    <w:rsid w:val="006C0B83"/>
    <w:pPr>
      <w:widowControl/>
      <w:tabs>
        <w:tab w:val="clear" w:pos="4536"/>
        <w:tab w:val="clear" w:pos="9072"/>
        <w:tab w:val="right" w:pos="9360"/>
      </w:tabs>
      <w:autoSpaceDE/>
      <w:autoSpaceDN/>
    </w:pPr>
    <w:rPr>
      <w:rFonts w:asciiTheme="minorHAnsi" w:eastAsiaTheme="minorHAnsi" w:hAnsiTheme="minorHAnsi" w:cstheme="minorBidi"/>
      <w:b/>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76752">
      <w:bodyDiv w:val="1"/>
      <w:marLeft w:val="0"/>
      <w:marRight w:val="0"/>
      <w:marTop w:val="0"/>
      <w:marBottom w:val="0"/>
      <w:divBdr>
        <w:top w:val="none" w:sz="0" w:space="0" w:color="auto"/>
        <w:left w:val="none" w:sz="0" w:space="0" w:color="auto"/>
        <w:bottom w:val="none" w:sz="0" w:space="0" w:color="auto"/>
        <w:right w:val="none" w:sz="0" w:space="0" w:color="auto"/>
      </w:divBdr>
    </w:div>
    <w:div w:id="1603148714">
      <w:bodyDiv w:val="1"/>
      <w:marLeft w:val="0"/>
      <w:marRight w:val="0"/>
      <w:marTop w:val="0"/>
      <w:marBottom w:val="0"/>
      <w:divBdr>
        <w:top w:val="none" w:sz="0" w:space="0" w:color="auto"/>
        <w:left w:val="none" w:sz="0" w:space="0" w:color="auto"/>
        <w:bottom w:val="none" w:sz="0" w:space="0" w:color="auto"/>
        <w:right w:val="none" w:sz="0" w:space="0" w:color="auto"/>
      </w:divBdr>
    </w:div>
    <w:div w:id="1678576793">
      <w:bodyDiv w:val="1"/>
      <w:marLeft w:val="0"/>
      <w:marRight w:val="0"/>
      <w:marTop w:val="0"/>
      <w:marBottom w:val="0"/>
      <w:divBdr>
        <w:top w:val="none" w:sz="0" w:space="0" w:color="auto"/>
        <w:left w:val="none" w:sz="0" w:space="0" w:color="auto"/>
        <w:bottom w:val="none" w:sz="0" w:space="0" w:color="auto"/>
        <w:right w:val="none" w:sz="0" w:space="0" w:color="auto"/>
      </w:divBdr>
    </w:div>
    <w:div w:id="18477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customXml" Target="../customXml/item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5.emf"/><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adjia%20SARATOU\Desktop\Donn&#233;es%20Dr%20SIDDO.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444410148050451E-2"/>
          <c:y val="0.12234322112313671"/>
          <c:w val="0.90681424514227971"/>
          <c:h val="0.70323280169653002"/>
        </c:manualLayout>
      </c:layout>
      <c:barChart>
        <c:barDir val="col"/>
        <c:grouping val="clustered"/>
        <c:varyColors val="0"/>
        <c:ser>
          <c:idx val="0"/>
          <c:order val="0"/>
          <c:tx>
            <c:strRef>
              <c:f>'Données Globales1'!$J$2</c:f>
              <c:strCache>
                <c:ptCount val="1"/>
                <c:pt idx="0">
                  <c:v>2014</c:v>
                </c:pt>
              </c:strCache>
            </c:strRef>
          </c:tx>
          <c:spPr>
            <a:gradFill>
              <a:gsLst>
                <a:gs pos="0">
                  <a:srgbClr val="0070C0"/>
                </a:gs>
                <a:gs pos="75000">
                  <a:srgbClr val="0070C0">
                    <a:alpha val="25098"/>
                  </a:srgbClr>
                </a:gs>
                <a:gs pos="25000">
                  <a:srgbClr val="0070C0"/>
                </a:gs>
                <a:gs pos="100000">
                  <a:srgbClr val="0070C0">
                    <a:alpha val="74902"/>
                  </a:srgbClr>
                </a:gs>
              </a:gsLst>
              <a:lin ang="10800000" scaled="0"/>
            </a:gradFill>
          </c:spPr>
          <c:invertIfNegative val="0"/>
          <c:dLbls>
            <c:spPr>
              <a:noFill/>
              <a:ln>
                <a:noFill/>
              </a:ln>
              <a:effectLst/>
            </c:spPr>
            <c:txPr>
              <a:bodyPr/>
              <a:lstStyle/>
              <a:p>
                <a:pPr>
                  <a:defRPr>
                    <a:solidFill>
                      <a:schemeClr val="accent6"/>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'Données Globales1'!$I$3:$I$6</c:f>
              <c:strCache>
                <c:ptCount val="4"/>
                <c:pt idx="0">
                  <c:v>1. Nouvelles</c:v>
                </c:pt>
                <c:pt idx="1">
                  <c:v>2. Anciennes</c:v>
                </c:pt>
                <c:pt idx="2">
                  <c:v>3. Autres</c:v>
                </c:pt>
                <c:pt idx="3">
                  <c:v>4. Total</c:v>
                </c:pt>
              </c:strCache>
            </c:strRef>
          </c:cat>
          <c:val>
            <c:numRef>
              <c:f>'Données Globales1'!$J$3:$J$6</c:f>
              <c:numCache>
                <c:formatCode>_-* #,##0\ _€_-;\-* #,##0\ _€_-;_-* "-"??\ _€_-;_-@_-</c:formatCode>
                <c:ptCount val="4"/>
                <c:pt idx="0">
                  <c:v>2594</c:v>
                </c:pt>
                <c:pt idx="1">
                  <c:v>1016</c:v>
                </c:pt>
                <c:pt idx="2">
                  <c:v>149</c:v>
                </c:pt>
                <c:pt idx="3" formatCode="General">
                  <c:v>3759</c:v>
                </c:pt>
              </c:numCache>
            </c:numRef>
          </c:val>
          <c:extLst>
            <c:ext xmlns:c16="http://schemas.microsoft.com/office/drawing/2014/chart" uri="{C3380CC4-5D6E-409C-BE32-E72D297353CC}">
              <c16:uniqueId val="{00000000-A5BF-4BDA-B033-D67308519746}"/>
            </c:ext>
          </c:extLst>
        </c:ser>
        <c:ser>
          <c:idx val="1"/>
          <c:order val="1"/>
          <c:tx>
            <c:strRef>
              <c:f>'Données Globales1'!$K$2</c:f>
              <c:strCache>
                <c:ptCount val="1"/>
                <c:pt idx="0">
                  <c:v>2015</c:v>
                </c:pt>
              </c:strCache>
            </c:strRef>
          </c:tx>
          <c:spPr>
            <a:gradFill>
              <a:gsLst>
                <a:gs pos="0">
                  <a:srgbClr val="FF0000"/>
                </a:gs>
                <a:gs pos="75000">
                  <a:srgbClr val="FF0000">
                    <a:alpha val="25098"/>
                  </a:srgbClr>
                </a:gs>
                <a:gs pos="25000">
                  <a:srgbClr val="FF0000">
                    <a:alpha val="74902"/>
                  </a:srgbClr>
                </a:gs>
                <a:gs pos="100000">
                  <a:srgbClr val="FF0000"/>
                </a:gs>
              </a:gsLst>
              <a:lin ang="10800000" scaled="0"/>
            </a:gradFill>
          </c:spPr>
          <c:invertIfNegative val="0"/>
          <c:dLbls>
            <c:spPr>
              <a:noFill/>
              <a:ln>
                <a:noFill/>
              </a:ln>
              <a:effectLst/>
            </c:spPr>
            <c:txPr>
              <a:bodyPr/>
              <a:lstStyle/>
              <a:p>
                <a:pPr>
                  <a:defRPr>
                    <a:solidFill>
                      <a:srgbClr val="00B05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'Données Globales1'!$I$3:$I$6</c:f>
              <c:strCache>
                <c:ptCount val="4"/>
                <c:pt idx="0">
                  <c:v>1. Nouvelles</c:v>
                </c:pt>
                <c:pt idx="1">
                  <c:v>2. Anciennes</c:v>
                </c:pt>
                <c:pt idx="2">
                  <c:v>3. Autres</c:v>
                </c:pt>
                <c:pt idx="3">
                  <c:v>4. Total</c:v>
                </c:pt>
              </c:strCache>
            </c:strRef>
          </c:cat>
          <c:val>
            <c:numRef>
              <c:f>'Données Globales1'!$K$3:$K$6</c:f>
              <c:numCache>
                <c:formatCode>_-* #,##0\ _€_-;\-* #,##0\ _€_-;_-* "-"??\ _€_-;_-@_-</c:formatCode>
                <c:ptCount val="4"/>
                <c:pt idx="0">
                  <c:v>3302</c:v>
                </c:pt>
                <c:pt idx="1">
                  <c:v>3108</c:v>
                </c:pt>
                <c:pt idx="2">
                  <c:v>724</c:v>
                </c:pt>
                <c:pt idx="3" formatCode="General">
                  <c:v>7134</c:v>
                </c:pt>
              </c:numCache>
            </c:numRef>
          </c:val>
          <c:extLst>
            <c:ext xmlns:c16="http://schemas.microsoft.com/office/drawing/2014/chart" uri="{C3380CC4-5D6E-409C-BE32-E72D297353CC}">
              <c16:uniqueId val="{00000001-A5BF-4BDA-B033-D67308519746}"/>
            </c:ext>
          </c:extLst>
        </c:ser>
        <c:dLbls>
          <c:showLegendKey val="0"/>
          <c:showVal val="0"/>
          <c:showCatName val="0"/>
          <c:showSerName val="0"/>
          <c:showPercent val="0"/>
          <c:showBubbleSize val="0"/>
        </c:dLbls>
        <c:gapWidth val="150"/>
        <c:axId val="33080064"/>
        <c:axId val="33081600"/>
      </c:barChart>
      <c:catAx>
        <c:axId val="33080064"/>
        <c:scaling>
          <c:orientation val="minMax"/>
        </c:scaling>
        <c:delete val="0"/>
        <c:axPos val="b"/>
        <c:numFmt formatCode="General" sourceLinked="1"/>
        <c:majorTickMark val="out"/>
        <c:minorTickMark val="none"/>
        <c:tickLblPos val="nextTo"/>
        <c:txPr>
          <a:bodyPr/>
          <a:lstStyle/>
          <a:p>
            <a:pPr>
              <a:defRPr b="1"/>
            </a:pPr>
            <a:endParaRPr lang="en-US"/>
          </a:p>
        </c:txPr>
        <c:crossAx val="33081600"/>
        <c:crosses val="autoZero"/>
        <c:auto val="1"/>
        <c:lblAlgn val="ctr"/>
        <c:lblOffset val="100"/>
        <c:noMultiLvlLbl val="0"/>
      </c:catAx>
      <c:valAx>
        <c:axId val="33081600"/>
        <c:scaling>
          <c:orientation val="minMax"/>
        </c:scaling>
        <c:delete val="0"/>
        <c:axPos val="l"/>
        <c:numFmt formatCode="_-* #,##0\ _€_-;\-* #,##0\ _€_-;_-* &quot;-&quot;??\ _€_-;_-@_-" sourceLinked="1"/>
        <c:majorTickMark val="out"/>
        <c:minorTickMark val="none"/>
        <c:tickLblPos val="nextTo"/>
        <c:crossAx val="33080064"/>
        <c:crosses val="autoZero"/>
        <c:crossBetween val="between"/>
      </c:valAx>
    </c:plotArea>
    <c:legend>
      <c:legendPos val="r"/>
      <c:layout>
        <c:manualLayout>
          <c:xMode val="edge"/>
          <c:yMode val="edge"/>
          <c:x val="0.1722221615501946"/>
          <c:y val="0.88768089768595437"/>
          <c:w val="0.30419343213166317"/>
          <c:h val="0.11047220014929326"/>
        </c:manualLayout>
      </c:layout>
      <c:overlay val="0"/>
      <c:txPr>
        <a:bodyPr/>
        <a:lstStyle/>
        <a:p>
          <a:pPr>
            <a:defRPr b="1"/>
          </a:pPr>
          <a:endParaRPr lang="en-US"/>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78DAC-A0EB-476B-A5BA-80F825BBFB07}" type="doc">
      <dgm:prSet loTypeId="urn:microsoft.com/office/officeart/2005/8/layout/pyramid1" loCatId="pyramid" qsTypeId="urn:microsoft.com/office/officeart/2005/8/quickstyle/simple1" qsCatId="simple" csTypeId="urn:microsoft.com/office/officeart/2005/8/colors/accent5_5" csCatId="accent5" phldr="1"/>
      <dgm:spPr/>
    </dgm:pt>
    <dgm:pt modelId="{42953794-8F7F-4701-9703-92147C97D6FC}">
      <dgm:prSet phldrT="[Texte]" custT="1"/>
      <dgm:spPr/>
      <dgm:t>
        <a:bodyPr/>
        <a:lstStyle/>
        <a:p>
          <a:pPr algn="ctr"/>
          <a:r>
            <a:rPr lang="fr-FR" sz="1600" b="1"/>
            <a:t>NIVEAU CENTRAL</a:t>
          </a:r>
        </a:p>
      </dgm:t>
    </dgm:pt>
    <dgm:pt modelId="{D422915A-82F8-4D32-A147-C8B1B7C027C5}" type="parTrans" cxnId="{EA06B029-E5B6-4322-A7AC-078EDE3B541D}">
      <dgm:prSet/>
      <dgm:spPr/>
      <dgm:t>
        <a:bodyPr/>
        <a:lstStyle/>
        <a:p>
          <a:pPr algn="ctr"/>
          <a:endParaRPr lang="fr-FR"/>
        </a:p>
      </dgm:t>
    </dgm:pt>
    <dgm:pt modelId="{718FDF81-F833-42AC-91AA-B4A8EC6F66D8}" type="sibTrans" cxnId="{EA06B029-E5B6-4322-A7AC-078EDE3B541D}">
      <dgm:prSet/>
      <dgm:spPr/>
      <dgm:t>
        <a:bodyPr/>
        <a:lstStyle/>
        <a:p>
          <a:pPr algn="ctr"/>
          <a:endParaRPr lang="fr-FR"/>
        </a:p>
      </dgm:t>
    </dgm:pt>
    <dgm:pt modelId="{7146D233-D25C-46CB-AC77-A182F9895B1A}">
      <dgm:prSet phldrT="[Texte]" custT="1"/>
      <dgm:spPr/>
      <dgm:t>
        <a:bodyPr/>
        <a:lstStyle/>
        <a:p>
          <a:pPr algn="ctr"/>
          <a:r>
            <a:rPr lang="fr-FR" sz="1600" b="1"/>
            <a:t>NIVEAU PERIPHÉRIQUE</a:t>
          </a:r>
        </a:p>
      </dgm:t>
    </dgm:pt>
    <dgm:pt modelId="{876293C8-F344-4C73-92E3-646F8F5D635D}" type="parTrans" cxnId="{D8023F46-5A0C-4E56-AFC6-6FFB4A969B44}">
      <dgm:prSet/>
      <dgm:spPr/>
      <dgm:t>
        <a:bodyPr/>
        <a:lstStyle/>
        <a:p>
          <a:pPr algn="ctr"/>
          <a:endParaRPr lang="fr-FR"/>
        </a:p>
      </dgm:t>
    </dgm:pt>
    <dgm:pt modelId="{80EB6125-E3A0-4EAF-8AF4-D3CCEAA5858A}" type="sibTrans" cxnId="{D8023F46-5A0C-4E56-AFC6-6FFB4A969B44}">
      <dgm:prSet/>
      <dgm:spPr/>
      <dgm:t>
        <a:bodyPr/>
        <a:lstStyle/>
        <a:p>
          <a:pPr algn="ctr"/>
          <a:endParaRPr lang="fr-FR"/>
        </a:p>
      </dgm:t>
    </dgm:pt>
    <dgm:pt modelId="{2CC0184F-B227-4A3D-A61D-0B73BC2C9321}">
      <dgm:prSet phldrT="[Texte]" custT="1"/>
      <dgm:spPr/>
      <dgm:t>
        <a:bodyPr/>
        <a:lstStyle/>
        <a:p>
          <a:pPr algn="ctr"/>
          <a:r>
            <a:rPr lang="fr-FR" sz="1600" b="1"/>
            <a:t>NIVEAU REGIONAL</a:t>
          </a:r>
        </a:p>
      </dgm:t>
    </dgm:pt>
    <dgm:pt modelId="{592C806E-497F-4409-AE4C-3C5E24916E1A}" type="sibTrans" cxnId="{F3E4AB27-B7D8-45AB-B386-40D0DD668B15}">
      <dgm:prSet/>
      <dgm:spPr/>
      <dgm:t>
        <a:bodyPr/>
        <a:lstStyle/>
        <a:p>
          <a:pPr algn="ctr"/>
          <a:endParaRPr lang="fr-FR"/>
        </a:p>
      </dgm:t>
    </dgm:pt>
    <dgm:pt modelId="{B01EBBC1-BAF0-4041-AFFF-308EEAD8C92D}" type="parTrans" cxnId="{F3E4AB27-B7D8-45AB-B386-40D0DD668B15}">
      <dgm:prSet/>
      <dgm:spPr/>
      <dgm:t>
        <a:bodyPr/>
        <a:lstStyle/>
        <a:p>
          <a:pPr algn="ctr"/>
          <a:endParaRPr lang="fr-FR"/>
        </a:p>
      </dgm:t>
    </dgm:pt>
    <dgm:pt modelId="{9179167F-BCF6-42D3-90E4-E3A69BA0CFF9}" type="pres">
      <dgm:prSet presAssocID="{B2278DAC-A0EB-476B-A5BA-80F825BBFB07}" presName="Name0" presStyleCnt="0">
        <dgm:presLayoutVars>
          <dgm:dir/>
          <dgm:animLvl val="lvl"/>
          <dgm:resizeHandles val="exact"/>
        </dgm:presLayoutVars>
      </dgm:prSet>
      <dgm:spPr/>
    </dgm:pt>
    <dgm:pt modelId="{86DF9BC2-AFD0-407B-AF78-FECD2EBB77F0}" type="pres">
      <dgm:prSet presAssocID="{42953794-8F7F-4701-9703-92147C97D6FC}" presName="Name8" presStyleCnt="0"/>
      <dgm:spPr/>
    </dgm:pt>
    <dgm:pt modelId="{C22CA43C-2FA3-47D8-8CED-E5A99BCC9035}" type="pres">
      <dgm:prSet presAssocID="{42953794-8F7F-4701-9703-92147C97D6FC}" presName="level" presStyleLbl="node1" presStyleIdx="0" presStyleCnt="3">
        <dgm:presLayoutVars>
          <dgm:chMax val="1"/>
          <dgm:bulletEnabled val="1"/>
        </dgm:presLayoutVars>
      </dgm:prSet>
      <dgm:spPr/>
      <dgm:t>
        <a:bodyPr/>
        <a:lstStyle/>
        <a:p>
          <a:endParaRPr lang="fr-FR"/>
        </a:p>
      </dgm:t>
    </dgm:pt>
    <dgm:pt modelId="{4DB7E2E1-EE9F-4B2F-96D8-48E2093CDC0B}" type="pres">
      <dgm:prSet presAssocID="{42953794-8F7F-4701-9703-92147C97D6FC}" presName="levelTx" presStyleLbl="revTx" presStyleIdx="0" presStyleCnt="0">
        <dgm:presLayoutVars>
          <dgm:chMax val="1"/>
          <dgm:bulletEnabled val="1"/>
        </dgm:presLayoutVars>
      </dgm:prSet>
      <dgm:spPr/>
      <dgm:t>
        <a:bodyPr/>
        <a:lstStyle/>
        <a:p>
          <a:endParaRPr lang="fr-FR"/>
        </a:p>
      </dgm:t>
    </dgm:pt>
    <dgm:pt modelId="{4195F952-B940-4948-B216-CB1540BEC615}" type="pres">
      <dgm:prSet presAssocID="{2CC0184F-B227-4A3D-A61D-0B73BC2C9321}" presName="Name8" presStyleCnt="0"/>
      <dgm:spPr/>
    </dgm:pt>
    <dgm:pt modelId="{B951447B-31FE-41A2-9B9D-E2B513937FCD}" type="pres">
      <dgm:prSet presAssocID="{2CC0184F-B227-4A3D-A61D-0B73BC2C9321}" presName="level" presStyleLbl="node1" presStyleIdx="1" presStyleCnt="3">
        <dgm:presLayoutVars>
          <dgm:chMax val="1"/>
          <dgm:bulletEnabled val="1"/>
        </dgm:presLayoutVars>
      </dgm:prSet>
      <dgm:spPr/>
      <dgm:t>
        <a:bodyPr/>
        <a:lstStyle/>
        <a:p>
          <a:endParaRPr lang="fr-FR"/>
        </a:p>
      </dgm:t>
    </dgm:pt>
    <dgm:pt modelId="{07190414-14D0-4FBC-A6D1-68C8CF489260}" type="pres">
      <dgm:prSet presAssocID="{2CC0184F-B227-4A3D-A61D-0B73BC2C9321}" presName="levelTx" presStyleLbl="revTx" presStyleIdx="0" presStyleCnt="0">
        <dgm:presLayoutVars>
          <dgm:chMax val="1"/>
          <dgm:bulletEnabled val="1"/>
        </dgm:presLayoutVars>
      </dgm:prSet>
      <dgm:spPr/>
      <dgm:t>
        <a:bodyPr/>
        <a:lstStyle/>
        <a:p>
          <a:endParaRPr lang="fr-FR"/>
        </a:p>
      </dgm:t>
    </dgm:pt>
    <dgm:pt modelId="{AF72E81B-FAB9-482E-8FBF-67DD76CDAB45}" type="pres">
      <dgm:prSet presAssocID="{7146D233-D25C-46CB-AC77-A182F9895B1A}" presName="Name8" presStyleCnt="0"/>
      <dgm:spPr/>
    </dgm:pt>
    <dgm:pt modelId="{BBB7A2C4-81AF-4630-9DAE-B28D2A1BEEB3}" type="pres">
      <dgm:prSet presAssocID="{7146D233-D25C-46CB-AC77-A182F9895B1A}" presName="level" presStyleLbl="node1" presStyleIdx="2" presStyleCnt="3" custLinFactNeighborY="-1214">
        <dgm:presLayoutVars>
          <dgm:chMax val="1"/>
          <dgm:bulletEnabled val="1"/>
        </dgm:presLayoutVars>
      </dgm:prSet>
      <dgm:spPr/>
      <dgm:t>
        <a:bodyPr/>
        <a:lstStyle/>
        <a:p>
          <a:endParaRPr lang="fr-FR"/>
        </a:p>
      </dgm:t>
    </dgm:pt>
    <dgm:pt modelId="{DDB26332-B27E-4163-A3FA-BCEC02B9BEEA}" type="pres">
      <dgm:prSet presAssocID="{7146D233-D25C-46CB-AC77-A182F9895B1A}" presName="levelTx" presStyleLbl="revTx" presStyleIdx="0" presStyleCnt="0">
        <dgm:presLayoutVars>
          <dgm:chMax val="1"/>
          <dgm:bulletEnabled val="1"/>
        </dgm:presLayoutVars>
      </dgm:prSet>
      <dgm:spPr/>
      <dgm:t>
        <a:bodyPr/>
        <a:lstStyle/>
        <a:p>
          <a:endParaRPr lang="fr-FR"/>
        </a:p>
      </dgm:t>
    </dgm:pt>
  </dgm:ptLst>
  <dgm:cxnLst>
    <dgm:cxn modelId="{F3E4AB27-B7D8-45AB-B386-40D0DD668B15}" srcId="{B2278DAC-A0EB-476B-A5BA-80F825BBFB07}" destId="{2CC0184F-B227-4A3D-A61D-0B73BC2C9321}" srcOrd="1" destOrd="0" parTransId="{B01EBBC1-BAF0-4041-AFFF-308EEAD8C92D}" sibTransId="{592C806E-497F-4409-AE4C-3C5E24916E1A}"/>
    <dgm:cxn modelId="{5A9D24E2-3DA4-48BB-B410-11BC77AC7977}" type="presOf" srcId="{B2278DAC-A0EB-476B-A5BA-80F825BBFB07}" destId="{9179167F-BCF6-42D3-90E4-E3A69BA0CFF9}" srcOrd="0" destOrd="0" presId="urn:microsoft.com/office/officeart/2005/8/layout/pyramid1"/>
    <dgm:cxn modelId="{F26153C8-4841-4128-B5C7-6DD03E7EE7D3}" type="presOf" srcId="{7146D233-D25C-46CB-AC77-A182F9895B1A}" destId="{DDB26332-B27E-4163-A3FA-BCEC02B9BEEA}" srcOrd="1" destOrd="0" presId="urn:microsoft.com/office/officeart/2005/8/layout/pyramid1"/>
    <dgm:cxn modelId="{8AB47D45-0ABE-411A-BEEC-F312C86F614C}" type="presOf" srcId="{42953794-8F7F-4701-9703-92147C97D6FC}" destId="{C22CA43C-2FA3-47D8-8CED-E5A99BCC9035}" srcOrd="0" destOrd="0" presId="urn:microsoft.com/office/officeart/2005/8/layout/pyramid1"/>
    <dgm:cxn modelId="{D8023F46-5A0C-4E56-AFC6-6FFB4A969B44}" srcId="{B2278DAC-A0EB-476B-A5BA-80F825BBFB07}" destId="{7146D233-D25C-46CB-AC77-A182F9895B1A}" srcOrd="2" destOrd="0" parTransId="{876293C8-F344-4C73-92E3-646F8F5D635D}" sibTransId="{80EB6125-E3A0-4EAF-8AF4-D3CCEAA5858A}"/>
    <dgm:cxn modelId="{F56CC60A-E784-44C7-B5B8-4EFF730CFFAB}" type="presOf" srcId="{42953794-8F7F-4701-9703-92147C97D6FC}" destId="{4DB7E2E1-EE9F-4B2F-96D8-48E2093CDC0B}" srcOrd="1" destOrd="0" presId="urn:microsoft.com/office/officeart/2005/8/layout/pyramid1"/>
    <dgm:cxn modelId="{FD61D697-5F8B-472B-8ABB-BF3EF2C6326E}" type="presOf" srcId="{2CC0184F-B227-4A3D-A61D-0B73BC2C9321}" destId="{07190414-14D0-4FBC-A6D1-68C8CF489260}" srcOrd="1" destOrd="0" presId="urn:microsoft.com/office/officeart/2005/8/layout/pyramid1"/>
    <dgm:cxn modelId="{59387C42-0DB6-469D-AB82-0ABB9A809FC8}" type="presOf" srcId="{2CC0184F-B227-4A3D-A61D-0B73BC2C9321}" destId="{B951447B-31FE-41A2-9B9D-E2B513937FCD}" srcOrd="0" destOrd="0" presId="urn:microsoft.com/office/officeart/2005/8/layout/pyramid1"/>
    <dgm:cxn modelId="{F17739FA-AC77-452C-8497-29CE0A87F0A3}" type="presOf" srcId="{7146D233-D25C-46CB-AC77-A182F9895B1A}" destId="{BBB7A2C4-81AF-4630-9DAE-B28D2A1BEEB3}" srcOrd="0" destOrd="0" presId="urn:microsoft.com/office/officeart/2005/8/layout/pyramid1"/>
    <dgm:cxn modelId="{EA06B029-E5B6-4322-A7AC-078EDE3B541D}" srcId="{B2278DAC-A0EB-476B-A5BA-80F825BBFB07}" destId="{42953794-8F7F-4701-9703-92147C97D6FC}" srcOrd="0" destOrd="0" parTransId="{D422915A-82F8-4D32-A147-C8B1B7C027C5}" sibTransId="{718FDF81-F833-42AC-91AA-B4A8EC6F66D8}"/>
    <dgm:cxn modelId="{153E3AAA-4244-4053-8104-D8423100F716}" type="presParOf" srcId="{9179167F-BCF6-42D3-90E4-E3A69BA0CFF9}" destId="{86DF9BC2-AFD0-407B-AF78-FECD2EBB77F0}" srcOrd="0" destOrd="0" presId="urn:microsoft.com/office/officeart/2005/8/layout/pyramid1"/>
    <dgm:cxn modelId="{C54CA756-6E11-44E7-BB86-DAB52D86CEC4}" type="presParOf" srcId="{86DF9BC2-AFD0-407B-AF78-FECD2EBB77F0}" destId="{C22CA43C-2FA3-47D8-8CED-E5A99BCC9035}" srcOrd="0" destOrd="0" presId="urn:microsoft.com/office/officeart/2005/8/layout/pyramid1"/>
    <dgm:cxn modelId="{3F24FE58-C4A3-468E-A8CA-73A33B6F1BED}" type="presParOf" srcId="{86DF9BC2-AFD0-407B-AF78-FECD2EBB77F0}" destId="{4DB7E2E1-EE9F-4B2F-96D8-48E2093CDC0B}" srcOrd="1" destOrd="0" presId="urn:microsoft.com/office/officeart/2005/8/layout/pyramid1"/>
    <dgm:cxn modelId="{C934D964-B37D-4E1C-8DBD-514FA58A7AFA}" type="presParOf" srcId="{9179167F-BCF6-42D3-90E4-E3A69BA0CFF9}" destId="{4195F952-B940-4948-B216-CB1540BEC615}" srcOrd="1" destOrd="0" presId="urn:microsoft.com/office/officeart/2005/8/layout/pyramid1"/>
    <dgm:cxn modelId="{8AD5EA6B-86BF-443C-A4F9-497146306443}" type="presParOf" srcId="{4195F952-B940-4948-B216-CB1540BEC615}" destId="{B951447B-31FE-41A2-9B9D-E2B513937FCD}" srcOrd="0" destOrd="0" presId="urn:microsoft.com/office/officeart/2005/8/layout/pyramid1"/>
    <dgm:cxn modelId="{BF0D7F52-8DE3-488B-B49E-1E74CBC70671}" type="presParOf" srcId="{4195F952-B940-4948-B216-CB1540BEC615}" destId="{07190414-14D0-4FBC-A6D1-68C8CF489260}" srcOrd="1" destOrd="0" presId="urn:microsoft.com/office/officeart/2005/8/layout/pyramid1"/>
    <dgm:cxn modelId="{849D107D-4381-46C7-A718-2E44610EF929}" type="presParOf" srcId="{9179167F-BCF6-42D3-90E4-E3A69BA0CFF9}" destId="{AF72E81B-FAB9-482E-8FBF-67DD76CDAB45}" srcOrd="2" destOrd="0" presId="urn:microsoft.com/office/officeart/2005/8/layout/pyramid1"/>
    <dgm:cxn modelId="{BE6806B3-1EA9-474A-BA78-A16EF7A228A0}" type="presParOf" srcId="{AF72E81B-FAB9-482E-8FBF-67DD76CDAB45}" destId="{BBB7A2C4-81AF-4630-9DAE-B28D2A1BEEB3}" srcOrd="0" destOrd="0" presId="urn:microsoft.com/office/officeart/2005/8/layout/pyramid1"/>
    <dgm:cxn modelId="{F69347E7-A282-48B7-9033-E61C68F5FA0A}" type="presParOf" srcId="{AF72E81B-FAB9-482E-8FBF-67DD76CDAB45}" destId="{DDB26332-B27E-4163-A3FA-BCEC02B9BEEA}"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9C3746-85FC-4DE8-8A55-A4DAFF865D63}" type="doc">
      <dgm:prSet loTypeId="urn:microsoft.com/office/officeart/2005/8/layout/process5" loCatId="process" qsTypeId="urn:microsoft.com/office/officeart/2005/8/quickstyle/simple1" qsCatId="simple" csTypeId="urn:microsoft.com/office/officeart/2005/8/colors/colorful5" csCatId="colorful" phldr="1"/>
      <dgm:spPr/>
      <dgm:t>
        <a:bodyPr/>
        <a:lstStyle/>
        <a:p>
          <a:endParaRPr lang="fr-FR"/>
        </a:p>
      </dgm:t>
    </dgm:pt>
    <dgm:pt modelId="{F5E07EF5-28D7-48B7-AEF4-4A7A65322A24}">
      <dgm:prSet phldrT="[Texte]"/>
      <dgm:spPr/>
      <dgm:t>
        <a:bodyPr/>
        <a:lstStyle/>
        <a:p>
          <a:r>
            <a:rPr lang="fr-FR"/>
            <a:t>ONPPC(Central)</a:t>
          </a:r>
        </a:p>
      </dgm:t>
    </dgm:pt>
    <dgm:pt modelId="{EFE78A58-BDAC-4108-92B4-FBE7E2AE9520}" type="parTrans" cxnId="{D58D235D-49FD-40C1-96FD-332FF8B53BEC}">
      <dgm:prSet/>
      <dgm:spPr/>
      <dgm:t>
        <a:bodyPr/>
        <a:lstStyle/>
        <a:p>
          <a:endParaRPr lang="fr-FR"/>
        </a:p>
      </dgm:t>
    </dgm:pt>
    <dgm:pt modelId="{34841FF6-F65E-4CF6-872C-968B6AB8D90F}" type="sibTrans" cxnId="{D58D235D-49FD-40C1-96FD-332FF8B53BEC}">
      <dgm:prSet/>
      <dgm:spPr/>
      <dgm:t>
        <a:bodyPr/>
        <a:lstStyle/>
        <a:p>
          <a:endParaRPr lang="fr-FR"/>
        </a:p>
      </dgm:t>
    </dgm:pt>
    <dgm:pt modelId="{7D2F0DEE-F25C-48DE-BA9D-7EF4BB57D09F}">
      <dgm:prSet phldrT="[Texte]"/>
      <dgm:spPr/>
      <dgm:t>
        <a:bodyPr/>
        <a:lstStyle/>
        <a:p>
          <a:r>
            <a:rPr lang="fr-FR"/>
            <a:t>Depot de Zone</a:t>
          </a:r>
        </a:p>
      </dgm:t>
    </dgm:pt>
    <dgm:pt modelId="{9A13CDFC-2C9B-40B5-B15E-812A5DCC7BEC}" type="parTrans" cxnId="{92953775-DBA9-4898-9C75-2CAD2A27E9E9}">
      <dgm:prSet/>
      <dgm:spPr/>
      <dgm:t>
        <a:bodyPr/>
        <a:lstStyle/>
        <a:p>
          <a:endParaRPr lang="fr-FR"/>
        </a:p>
      </dgm:t>
    </dgm:pt>
    <dgm:pt modelId="{6C38BE0B-F257-408E-B05A-EB1270D1F1F5}" type="sibTrans" cxnId="{92953775-DBA9-4898-9C75-2CAD2A27E9E9}">
      <dgm:prSet/>
      <dgm:spPr/>
      <dgm:t>
        <a:bodyPr/>
        <a:lstStyle/>
        <a:p>
          <a:endParaRPr lang="fr-FR"/>
        </a:p>
      </dgm:t>
    </dgm:pt>
    <dgm:pt modelId="{B1776840-4E62-45F8-92AD-F02026108F2D}">
      <dgm:prSet phldrT="[Texte]"/>
      <dgm:spPr/>
      <dgm:t>
        <a:bodyPr/>
        <a:lstStyle/>
        <a:p>
          <a:r>
            <a:rPr lang="fr-FR"/>
            <a:t>Régions</a:t>
          </a:r>
        </a:p>
      </dgm:t>
    </dgm:pt>
    <dgm:pt modelId="{EF34E28E-02B1-4EE2-AFCD-57652CB782BA}" type="parTrans" cxnId="{B8A5938A-E5F3-4E88-AC2D-432D3C498614}">
      <dgm:prSet/>
      <dgm:spPr/>
      <dgm:t>
        <a:bodyPr/>
        <a:lstStyle/>
        <a:p>
          <a:endParaRPr lang="fr-FR"/>
        </a:p>
      </dgm:t>
    </dgm:pt>
    <dgm:pt modelId="{80127740-62F8-4646-81ED-985A07518A9E}" type="sibTrans" cxnId="{B8A5938A-E5F3-4E88-AC2D-432D3C498614}">
      <dgm:prSet/>
      <dgm:spPr/>
      <dgm:t>
        <a:bodyPr/>
        <a:lstStyle/>
        <a:p>
          <a:endParaRPr lang="fr-FR"/>
        </a:p>
      </dgm:t>
    </dgm:pt>
    <dgm:pt modelId="{252F962D-832A-4303-ADEE-6A8E0E42AAFB}">
      <dgm:prSet phldrT="[Texte]"/>
      <dgm:spPr/>
      <dgm:t>
        <a:bodyPr/>
        <a:lstStyle/>
        <a:p>
          <a:r>
            <a:rPr lang="fr-FR"/>
            <a:t>District</a:t>
          </a:r>
        </a:p>
      </dgm:t>
    </dgm:pt>
    <dgm:pt modelId="{F22E06F3-BCE4-4D03-A661-1139AFDA715E}" type="parTrans" cxnId="{A3711B00-63AD-43CB-B3D7-1F1EAE5F86D0}">
      <dgm:prSet/>
      <dgm:spPr/>
      <dgm:t>
        <a:bodyPr/>
        <a:lstStyle/>
        <a:p>
          <a:endParaRPr lang="fr-FR"/>
        </a:p>
      </dgm:t>
    </dgm:pt>
    <dgm:pt modelId="{5256172C-43D5-44CB-A11A-BCE1E4C98410}" type="sibTrans" cxnId="{A3711B00-63AD-43CB-B3D7-1F1EAE5F86D0}">
      <dgm:prSet/>
      <dgm:spPr/>
      <dgm:t>
        <a:bodyPr/>
        <a:lstStyle/>
        <a:p>
          <a:endParaRPr lang="fr-FR"/>
        </a:p>
      </dgm:t>
    </dgm:pt>
    <dgm:pt modelId="{005F268E-79F1-4DA2-968C-F047C807B5BF}">
      <dgm:prSet phldrT="[Texte]"/>
      <dgm:spPr/>
      <dgm:t>
        <a:bodyPr/>
        <a:lstStyle/>
        <a:p>
          <a:r>
            <a:rPr lang="fr-FR"/>
            <a:t>CSI</a:t>
          </a:r>
        </a:p>
      </dgm:t>
    </dgm:pt>
    <dgm:pt modelId="{5531DAD3-93DD-4DAC-914F-4EDFC8A661EE}" type="parTrans" cxnId="{9489E62E-AFA3-4A5B-9014-1C49DF48BAB9}">
      <dgm:prSet/>
      <dgm:spPr/>
      <dgm:t>
        <a:bodyPr/>
        <a:lstStyle/>
        <a:p>
          <a:endParaRPr lang="fr-FR"/>
        </a:p>
      </dgm:t>
    </dgm:pt>
    <dgm:pt modelId="{1F3473C2-A006-454B-A705-4C7D704B9E4C}" type="sibTrans" cxnId="{9489E62E-AFA3-4A5B-9014-1C49DF48BAB9}">
      <dgm:prSet/>
      <dgm:spPr/>
      <dgm:t>
        <a:bodyPr/>
        <a:lstStyle/>
        <a:p>
          <a:endParaRPr lang="fr-FR"/>
        </a:p>
      </dgm:t>
    </dgm:pt>
    <dgm:pt modelId="{DD414F5D-6001-4506-AC8C-1BA2E9C0281A}" type="pres">
      <dgm:prSet presAssocID="{3A9C3746-85FC-4DE8-8A55-A4DAFF865D63}" presName="diagram" presStyleCnt="0">
        <dgm:presLayoutVars>
          <dgm:dir/>
          <dgm:resizeHandles val="exact"/>
        </dgm:presLayoutVars>
      </dgm:prSet>
      <dgm:spPr/>
      <dgm:t>
        <a:bodyPr/>
        <a:lstStyle/>
        <a:p>
          <a:endParaRPr lang="fr-FR"/>
        </a:p>
      </dgm:t>
    </dgm:pt>
    <dgm:pt modelId="{48904EB2-2066-477B-9E7C-0670700FB759}" type="pres">
      <dgm:prSet presAssocID="{F5E07EF5-28D7-48B7-AEF4-4A7A65322A24}" presName="node" presStyleLbl="node1" presStyleIdx="0" presStyleCnt="5" custLinFactNeighborX="-96664" custLinFactNeighborY="-28">
        <dgm:presLayoutVars>
          <dgm:bulletEnabled val="1"/>
        </dgm:presLayoutVars>
      </dgm:prSet>
      <dgm:spPr/>
      <dgm:t>
        <a:bodyPr/>
        <a:lstStyle/>
        <a:p>
          <a:endParaRPr lang="fr-FR"/>
        </a:p>
      </dgm:t>
    </dgm:pt>
    <dgm:pt modelId="{B0319D88-A5B2-4707-A34D-FDF155F1DE34}" type="pres">
      <dgm:prSet presAssocID="{34841FF6-F65E-4CF6-872C-968B6AB8D90F}" presName="sibTrans" presStyleLbl="sibTrans2D1" presStyleIdx="0" presStyleCnt="4" custScaleX="131615" custLinFactNeighborX="-5864" custLinFactNeighborY="-3977"/>
      <dgm:spPr/>
      <dgm:t>
        <a:bodyPr/>
        <a:lstStyle/>
        <a:p>
          <a:endParaRPr lang="fr-FR"/>
        </a:p>
      </dgm:t>
    </dgm:pt>
    <dgm:pt modelId="{9CFD0F80-D9DC-4A48-8BCB-E2D950F53979}" type="pres">
      <dgm:prSet presAssocID="{34841FF6-F65E-4CF6-872C-968B6AB8D90F}" presName="connectorText" presStyleLbl="sibTrans2D1" presStyleIdx="0" presStyleCnt="4"/>
      <dgm:spPr/>
      <dgm:t>
        <a:bodyPr/>
        <a:lstStyle/>
        <a:p>
          <a:endParaRPr lang="fr-FR"/>
        </a:p>
      </dgm:t>
    </dgm:pt>
    <dgm:pt modelId="{22EC3094-E53D-46E8-BCA1-0AB33CA232F3}" type="pres">
      <dgm:prSet presAssocID="{7D2F0DEE-F25C-48DE-BA9D-7EF4BB57D09F}" presName="node" presStyleLbl="node1" presStyleIdx="1" presStyleCnt="5" custLinFactNeighborX="-98626" custLinFactNeighborY="268">
        <dgm:presLayoutVars>
          <dgm:bulletEnabled val="1"/>
        </dgm:presLayoutVars>
      </dgm:prSet>
      <dgm:spPr/>
      <dgm:t>
        <a:bodyPr/>
        <a:lstStyle/>
        <a:p>
          <a:endParaRPr lang="fr-FR"/>
        </a:p>
      </dgm:t>
    </dgm:pt>
    <dgm:pt modelId="{608982D6-AFD2-4321-9884-F7A0F83A2A4C}" type="pres">
      <dgm:prSet presAssocID="{6C38BE0B-F257-408E-B05A-EB1270D1F1F5}" presName="sibTrans" presStyleLbl="sibTrans2D1" presStyleIdx="1" presStyleCnt="4"/>
      <dgm:spPr/>
      <dgm:t>
        <a:bodyPr/>
        <a:lstStyle/>
        <a:p>
          <a:endParaRPr lang="fr-FR"/>
        </a:p>
      </dgm:t>
    </dgm:pt>
    <dgm:pt modelId="{EE32FE09-3A73-4ACE-8852-024CE07CC2EC}" type="pres">
      <dgm:prSet presAssocID="{6C38BE0B-F257-408E-B05A-EB1270D1F1F5}" presName="connectorText" presStyleLbl="sibTrans2D1" presStyleIdx="1" presStyleCnt="4"/>
      <dgm:spPr/>
      <dgm:t>
        <a:bodyPr/>
        <a:lstStyle/>
        <a:p>
          <a:endParaRPr lang="fr-FR"/>
        </a:p>
      </dgm:t>
    </dgm:pt>
    <dgm:pt modelId="{6A89F9ED-FE8D-45C5-AE0D-49DEC21BF9D4}" type="pres">
      <dgm:prSet presAssocID="{B1776840-4E62-45F8-92AD-F02026108F2D}" presName="node" presStyleLbl="node1" presStyleIdx="2" presStyleCnt="5" custLinFactNeighborX="-98626" custLinFactNeighborY="-28">
        <dgm:presLayoutVars>
          <dgm:bulletEnabled val="1"/>
        </dgm:presLayoutVars>
      </dgm:prSet>
      <dgm:spPr/>
      <dgm:t>
        <a:bodyPr/>
        <a:lstStyle/>
        <a:p>
          <a:endParaRPr lang="fr-FR"/>
        </a:p>
      </dgm:t>
    </dgm:pt>
    <dgm:pt modelId="{8EDF29FE-A588-4065-AFB1-CF4693DEE480}" type="pres">
      <dgm:prSet presAssocID="{80127740-62F8-4646-81ED-985A07518A9E}" presName="sibTrans" presStyleLbl="sibTrans2D1" presStyleIdx="2" presStyleCnt="4"/>
      <dgm:spPr/>
      <dgm:t>
        <a:bodyPr/>
        <a:lstStyle/>
        <a:p>
          <a:endParaRPr lang="fr-FR"/>
        </a:p>
      </dgm:t>
    </dgm:pt>
    <dgm:pt modelId="{44521FA1-3208-47E6-AA7A-66594DB0C3F2}" type="pres">
      <dgm:prSet presAssocID="{80127740-62F8-4646-81ED-985A07518A9E}" presName="connectorText" presStyleLbl="sibTrans2D1" presStyleIdx="2" presStyleCnt="4"/>
      <dgm:spPr/>
      <dgm:t>
        <a:bodyPr/>
        <a:lstStyle/>
        <a:p>
          <a:endParaRPr lang="fr-FR"/>
        </a:p>
      </dgm:t>
    </dgm:pt>
    <dgm:pt modelId="{7A51EE58-4D51-43BE-86D2-CF0A0F87E074}" type="pres">
      <dgm:prSet presAssocID="{252F962D-832A-4303-ADEE-6A8E0E42AAFB}" presName="node" presStyleLbl="node1" presStyleIdx="3" presStyleCnt="5" custLinFactX="-7503" custLinFactNeighborX="-100000" custLinFactNeighborY="268">
        <dgm:presLayoutVars>
          <dgm:bulletEnabled val="1"/>
        </dgm:presLayoutVars>
      </dgm:prSet>
      <dgm:spPr/>
      <dgm:t>
        <a:bodyPr/>
        <a:lstStyle/>
        <a:p>
          <a:endParaRPr lang="fr-FR"/>
        </a:p>
      </dgm:t>
    </dgm:pt>
    <dgm:pt modelId="{24629B66-318D-421F-96E0-821CFE36EF1D}" type="pres">
      <dgm:prSet presAssocID="{5256172C-43D5-44CB-A11A-BCE1E4C98410}" presName="sibTrans" presStyleLbl="sibTrans2D1" presStyleIdx="3" presStyleCnt="4"/>
      <dgm:spPr/>
      <dgm:t>
        <a:bodyPr/>
        <a:lstStyle/>
        <a:p>
          <a:endParaRPr lang="fr-FR"/>
        </a:p>
      </dgm:t>
    </dgm:pt>
    <dgm:pt modelId="{24983514-A771-492A-9B07-CE8E0F45F300}" type="pres">
      <dgm:prSet presAssocID="{5256172C-43D5-44CB-A11A-BCE1E4C98410}" presName="connectorText" presStyleLbl="sibTrans2D1" presStyleIdx="3" presStyleCnt="4"/>
      <dgm:spPr/>
      <dgm:t>
        <a:bodyPr/>
        <a:lstStyle/>
        <a:p>
          <a:endParaRPr lang="fr-FR"/>
        </a:p>
      </dgm:t>
    </dgm:pt>
    <dgm:pt modelId="{0CF1EC73-A212-414C-832E-9962E7AF9791}" type="pres">
      <dgm:prSet presAssocID="{005F268E-79F1-4DA2-968C-F047C807B5BF}" presName="node" presStyleLbl="node1" presStyleIdx="4" presStyleCnt="5" custLinFactX="-9475" custLinFactNeighborX="-100000" custLinFactNeighborY="268">
        <dgm:presLayoutVars>
          <dgm:bulletEnabled val="1"/>
        </dgm:presLayoutVars>
      </dgm:prSet>
      <dgm:spPr/>
      <dgm:t>
        <a:bodyPr/>
        <a:lstStyle/>
        <a:p>
          <a:endParaRPr lang="fr-FR"/>
        </a:p>
      </dgm:t>
    </dgm:pt>
  </dgm:ptLst>
  <dgm:cxnLst>
    <dgm:cxn modelId="{98DAB2CA-C214-4DF2-A1C1-4B163CEF82AB}" type="presOf" srcId="{005F268E-79F1-4DA2-968C-F047C807B5BF}" destId="{0CF1EC73-A212-414C-832E-9962E7AF9791}" srcOrd="0" destOrd="0" presId="urn:microsoft.com/office/officeart/2005/8/layout/process5"/>
    <dgm:cxn modelId="{5EE232A6-C869-45EB-8FCA-96E522BDD16B}" type="presOf" srcId="{6C38BE0B-F257-408E-B05A-EB1270D1F1F5}" destId="{EE32FE09-3A73-4ACE-8852-024CE07CC2EC}" srcOrd="1" destOrd="0" presId="urn:microsoft.com/office/officeart/2005/8/layout/process5"/>
    <dgm:cxn modelId="{A3711B00-63AD-43CB-B3D7-1F1EAE5F86D0}" srcId="{3A9C3746-85FC-4DE8-8A55-A4DAFF865D63}" destId="{252F962D-832A-4303-ADEE-6A8E0E42AAFB}" srcOrd="3" destOrd="0" parTransId="{F22E06F3-BCE4-4D03-A661-1139AFDA715E}" sibTransId="{5256172C-43D5-44CB-A11A-BCE1E4C98410}"/>
    <dgm:cxn modelId="{319468FF-443C-459D-9CAB-0966A311CBD5}" type="presOf" srcId="{F5E07EF5-28D7-48B7-AEF4-4A7A65322A24}" destId="{48904EB2-2066-477B-9E7C-0670700FB759}" srcOrd="0" destOrd="0" presId="urn:microsoft.com/office/officeart/2005/8/layout/process5"/>
    <dgm:cxn modelId="{C25EECAA-1252-42E9-BDF3-843B774CD312}" type="presOf" srcId="{80127740-62F8-4646-81ED-985A07518A9E}" destId="{44521FA1-3208-47E6-AA7A-66594DB0C3F2}" srcOrd="1" destOrd="0" presId="urn:microsoft.com/office/officeart/2005/8/layout/process5"/>
    <dgm:cxn modelId="{92953775-DBA9-4898-9C75-2CAD2A27E9E9}" srcId="{3A9C3746-85FC-4DE8-8A55-A4DAFF865D63}" destId="{7D2F0DEE-F25C-48DE-BA9D-7EF4BB57D09F}" srcOrd="1" destOrd="0" parTransId="{9A13CDFC-2C9B-40B5-B15E-812A5DCC7BEC}" sibTransId="{6C38BE0B-F257-408E-B05A-EB1270D1F1F5}"/>
    <dgm:cxn modelId="{9489E62E-AFA3-4A5B-9014-1C49DF48BAB9}" srcId="{3A9C3746-85FC-4DE8-8A55-A4DAFF865D63}" destId="{005F268E-79F1-4DA2-968C-F047C807B5BF}" srcOrd="4" destOrd="0" parTransId="{5531DAD3-93DD-4DAC-914F-4EDFC8A661EE}" sibTransId="{1F3473C2-A006-454B-A705-4C7D704B9E4C}"/>
    <dgm:cxn modelId="{56A9B8E7-3387-4A64-AA17-DE91A54C15DD}" type="presOf" srcId="{B1776840-4E62-45F8-92AD-F02026108F2D}" destId="{6A89F9ED-FE8D-45C5-AE0D-49DEC21BF9D4}" srcOrd="0" destOrd="0" presId="urn:microsoft.com/office/officeart/2005/8/layout/process5"/>
    <dgm:cxn modelId="{1B39F1F9-DABE-4357-8924-4AD61F6731F9}" type="presOf" srcId="{80127740-62F8-4646-81ED-985A07518A9E}" destId="{8EDF29FE-A588-4065-AFB1-CF4693DEE480}" srcOrd="0" destOrd="0" presId="urn:microsoft.com/office/officeart/2005/8/layout/process5"/>
    <dgm:cxn modelId="{D58D235D-49FD-40C1-96FD-332FF8B53BEC}" srcId="{3A9C3746-85FC-4DE8-8A55-A4DAFF865D63}" destId="{F5E07EF5-28D7-48B7-AEF4-4A7A65322A24}" srcOrd="0" destOrd="0" parTransId="{EFE78A58-BDAC-4108-92B4-FBE7E2AE9520}" sibTransId="{34841FF6-F65E-4CF6-872C-968B6AB8D90F}"/>
    <dgm:cxn modelId="{B05CEEDE-7152-49EE-B72F-8BC735B59327}" type="presOf" srcId="{3A9C3746-85FC-4DE8-8A55-A4DAFF865D63}" destId="{DD414F5D-6001-4506-AC8C-1BA2E9C0281A}" srcOrd="0" destOrd="0" presId="urn:microsoft.com/office/officeart/2005/8/layout/process5"/>
    <dgm:cxn modelId="{C51D1D62-495A-4D12-8135-13CB75459A58}" type="presOf" srcId="{5256172C-43D5-44CB-A11A-BCE1E4C98410}" destId="{24983514-A771-492A-9B07-CE8E0F45F300}" srcOrd="1" destOrd="0" presId="urn:microsoft.com/office/officeart/2005/8/layout/process5"/>
    <dgm:cxn modelId="{70959DD9-3748-40F6-A0B7-E2F8608E4FD3}" type="presOf" srcId="{252F962D-832A-4303-ADEE-6A8E0E42AAFB}" destId="{7A51EE58-4D51-43BE-86D2-CF0A0F87E074}" srcOrd="0" destOrd="0" presId="urn:microsoft.com/office/officeart/2005/8/layout/process5"/>
    <dgm:cxn modelId="{6510799F-7E90-4C2E-98A0-38B9F07E98A7}" type="presOf" srcId="{5256172C-43D5-44CB-A11A-BCE1E4C98410}" destId="{24629B66-318D-421F-96E0-821CFE36EF1D}" srcOrd="0" destOrd="0" presId="urn:microsoft.com/office/officeart/2005/8/layout/process5"/>
    <dgm:cxn modelId="{2EAEE7F9-4690-4BD6-8AF7-528B12622B99}" type="presOf" srcId="{34841FF6-F65E-4CF6-872C-968B6AB8D90F}" destId="{B0319D88-A5B2-4707-A34D-FDF155F1DE34}" srcOrd="0" destOrd="0" presId="urn:microsoft.com/office/officeart/2005/8/layout/process5"/>
    <dgm:cxn modelId="{E54F140A-FE78-4456-BC26-54F510182387}" type="presOf" srcId="{34841FF6-F65E-4CF6-872C-968B6AB8D90F}" destId="{9CFD0F80-D9DC-4A48-8BCB-E2D950F53979}" srcOrd="1" destOrd="0" presId="urn:microsoft.com/office/officeart/2005/8/layout/process5"/>
    <dgm:cxn modelId="{22570C1B-850A-4D1B-88D4-6172122EDBC3}" type="presOf" srcId="{7D2F0DEE-F25C-48DE-BA9D-7EF4BB57D09F}" destId="{22EC3094-E53D-46E8-BCA1-0AB33CA232F3}" srcOrd="0" destOrd="0" presId="urn:microsoft.com/office/officeart/2005/8/layout/process5"/>
    <dgm:cxn modelId="{20449D8D-742A-44AB-8CB7-0B1223C52EB0}" type="presOf" srcId="{6C38BE0B-F257-408E-B05A-EB1270D1F1F5}" destId="{608982D6-AFD2-4321-9884-F7A0F83A2A4C}" srcOrd="0" destOrd="0" presId="urn:microsoft.com/office/officeart/2005/8/layout/process5"/>
    <dgm:cxn modelId="{B8A5938A-E5F3-4E88-AC2D-432D3C498614}" srcId="{3A9C3746-85FC-4DE8-8A55-A4DAFF865D63}" destId="{B1776840-4E62-45F8-92AD-F02026108F2D}" srcOrd="2" destOrd="0" parTransId="{EF34E28E-02B1-4EE2-AFCD-57652CB782BA}" sibTransId="{80127740-62F8-4646-81ED-985A07518A9E}"/>
    <dgm:cxn modelId="{E528004F-280C-482C-948A-53176BC75FC0}" type="presParOf" srcId="{DD414F5D-6001-4506-AC8C-1BA2E9C0281A}" destId="{48904EB2-2066-477B-9E7C-0670700FB759}" srcOrd="0" destOrd="0" presId="urn:microsoft.com/office/officeart/2005/8/layout/process5"/>
    <dgm:cxn modelId="{F355ADB7-471C-4297-ADD7-09F57140FBA8}" type="presParOf" srcId="{DD414F5D-6001-4506-AC8C-1BA2E9C0281A}" destId="{B0319D88-A5B2-4707-A34D-FDF155F1DE34}" srcOrd="1" destOrd="0" presId="urn:microsoft.com/office/officeart/2005/8/layout/process5"/>
    <dgm:cxn modelId="{9ECA60CE-A9E1-4CA2-835E-B28058608CC8}" type="presParOf" srcId="{B0319D88-A5B2-4707-A34D-FDF155F1DE34}" destId="{9CFD0F80-D9DC-4A48-8BCB-E2D950F53979}" srcOrd="0" destOrd="0" presId="urn:microsoft.com/office/officeart/2005/8/layout/process5"/>
    <dgm:cxn modelId="{5AF56EB7-C025-4E68-8CC3-F17BE7F84515}" type="presParOf" srcId="{DD414F5D-6001-4506-AC8C-1BA2E9C0281A}" destId="{22EC3094-E53D-46E8-BCA1-0AB33CA232F3}" srcOrd="2" destOrd="0" presId="urn:microsoft.com/office/officeart/2005/8/layout/process5"/>
    <dgm:cxn modelId="{5E3348CF-1B0B-4B23-9B44-4F8FFD5EFDD4}" type="presParOf" srcId="{DD414F5D-6001-4506-AC8C-1BA2E9C0281A}" destId="{608982D6-AFD2-4321-9884-F7A0F83A2A4C}" srcOrd="3" destOrd="0" presId="urn:microsoft.com/office/officeart/2005/8/layout/process5"/>
    <dgm:cxn modelId="{9A403EEB-1D0D-428F-B294-1905F75F0F53}" type="presParOf" srcId="{608982D6-AFD2-4321-9884-F7A0F83A2A4C}" destId="{EE32FE09-3A73-4ACE-8852-024CE07CC2EC}" srcOrd="0" destOrd="0" presId="urn:microsoft.com/office/officeart/2005/8/layout/process5"/>
    <dgm:cxn modelId="{8F4F330D-B779-4B37-BCC6-ABBCCD75B900}" type="presParOf" srcId="{DD414F5D-6001-4506-AC8C-1BA2E9C0281A}" destId="{6A89F9ED-FE8D-45C5-AE0D-49DEC21BF9D4}" srcOrd="4" destOrd="0" presId="urn:microsoft.com/office/officeart/2005/8/layout/process5"/>
    <dgm:cxn modelId="{1078EFAD-362E-430B-A012-E54CBAD82520}" type="presParOf" srcId="{DD414F5D-6001-4506-AC8C-1BA2E9C0281A}" destId="{8EDF29FE-A588-4065-AFB1-CF4693DEE480}" srcOrd="5" destOrd="0" presId="urn:microsoft.com/office/officeart/2005/8/layout/process5"/>
    <dgm:cxn modelId="{2209ACA6-BA7B-4E5A-B646-55AA56916B7D}" type="presParOf" srcId="{8EDF29FE-A588-4065-AFB1-CF4693DEE480}" destId="{44521FA1-3208-47E6-AA7A-66594DB0C3F2}" srcOrd="0" destOrd="0" presId="urn:microsoft.com/office/officeart/2005/8/layout/process5"/>
    <dgm:cxn modelId="{3468B8A9-387D-4D2B-A3C2-64FAC534E071}" type="presParOf" srcId="{DD414F5D-6001-4506-AC8C-1BA2E9C0281A}" destId="{7A51EE58-4D51-43BE-86D2-CF0A0F87E074}" srcOrd="6" destOrd="0" presId="urn:microsoft.com/office/officeart/2005/8/layout/process5"/>
    <dgm:cxn modelId="{4CFDBCE3-6A83-4E55-8D50-D8854143CBF0}" type="presParOf" srcId="{DD414F5D-6001-4506-AC8C-1BA2E9C0281A}" destId="{24629B66-318D-421F-96E0-821CFE36EF1D}" srcOrd="7" destOrd="0" presId="urn:microsoft.com/office/officeart/2005/8/layout/process5"/>
    <dgm:cxn modelId="{53B7111A-4BA6-4569-ABA3-03E54D8ACC13}" type="presParOf" srcId="{24629B66-318D-421F-96E0-821CFE36EF1D}" destId="{24983514-A771-492A-9B07-CE8E0F45F300}" srcOrd="0" destOrd="0" presId="urn:microsoft.com/office/officeart/2005/8/layout/process5"/>
    <dgm:cxn modelId="{19ED3119-7A40-4007-B746-CD2754AACC34}" type="presParOf" srcId="{DD414F5D-6001-4506-AC8C-1BA2E9C0281A}" destId="{0CF1EC73-A212-414C-832E-9962E7AF9791}" srcOrd="8"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CA43C-2FA3-47D8-8CED-E5A99BCC9035}">
      <dsp:nvSpPr>
        <dsp:cNvPr id="0" name=""/>
        <dsp:cNvSpPr/>
      </dsp:nvSpPr>
      <dsp:spPr>
        <a:xfrm>
          <a:off x="1978025" y="0"/>
          <a:ext cx="1978025" cy="1077383"/>
        </a:xfrm>
        <a:prstGeom prst="trapezoid">
          <a:avLst>
            <a:gd name="adj" fmla="val 91798"/>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t>NIVEAU CENTRAL</a:t>
          </a:r>
        </a:p>
      </dsp:txBody>
      <dsp:txXfrm>
        <a:off x="1978025" y="0"/>
        <a:ext cx="1978025" cy="1077383"/>
      </dsp:txXfrm>
    </dsp:sp>
    <dsp:sp modelId="{B951447B-31FE-41A2-9B9D-E2B513937FCD}">
      <dsp:nvSpPr>
        <dsp:cNvPr id="0" name=""/>
        <dsp:cNvSpPr/>
      </dsp:nvSpPr>
      <dsp:spPr>
        <a:xfrm>
          <a:off x="989012" y="1077383"/>
          <a:ext cx="3956050" cy="1077383"/>
        </a:xfrm>
        <a:prstGeom prst="trapezoid">
          <a:avLst>
            <a:gd name="adj" fmla="val 91798"/>
          </a:avLst>
        </a:prstGeom>
        <a:solidFill>
          <a:schemeClr val="accent5">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t>NIVEAU REGIONAL</a:t>
          </a:r>
        </a:p>
      </dsp:txBody>
      <dsp:txXfrm>
        <a:off x="1681321" y="1077383"/>
        <a:ext cx="2571432" cy="1077383"/>
      </dsp:txXfrm>
    </dsp:sp>
    <dsp:sp modelId="{BBB7A2C4-81AF-4630-9DAE-B28D2A1BEEB3}">
      <dsp:nvSpPr>
        <dsp:cNvPr id="0" name=""/>
        <dsp:cNvSpPr/>
      </dsp:nvSpPr>
      <dsp:spPr>
        <a:xfrm>
          <a:off x="0" y="2141687"/>
          <a:ext cx="5934075" cy="1077383"/>
        </a:xfrm>
        <a:prstGeom prst="trapezoid">
          <a:avLst>
            <a:gd name="adj" fmla="val 91798"/>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t>NIVEAU PERIPHÉRIQUE</a:t>
          </a:r>
        </a:p>
      </dsp:txBody>
      <dsp:txXfrm>
        <a:off x="1038463" y="2141687"/>
        <a:ext cx="3857148" cy="10773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904EB2-2066-477B-9E7C-0670700FB759}">
      <dsp:nvSpPr>
        <dsp:cNvPr id="0" name=""/>
        <dsp:cNvSpPr/>
      </dsp:nvSpPr>
      <dsp:spPr>
        <a:xfrm>
          <a:off x="19" y="0"/>
          <a:ext cx="741707" cy="44502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ONPPC(Central)</a:t>
          </a:r>
        </a:p>
      </dsp:txBody>
      <dsp:txXfrm>
        <a:off x="13053" y="13034"/>
        <a:ext cx="715639" cy="418956"/>
      </dsp:txXfrm>
    </dsp:sp>
    <dsp:sp modelId="{B0319D88-A5B2-4707-A34D-FDF155F1DE34}">
      <dsp:nvSpPr>
        <dsp:cNvPr id="0" name=""/>
        <dsp:cNvSpPr/>
      </dsp:nvSpPr>
      <dsp:spPr>
        <a:xfrm rot="834">
          <a:off x="771390" y="123348"/>
          <a:ext cx="196802" cy="18394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771390" y="160130"/>
        <a:ext cx="141619" cy="110365"/>
      </dsp:txXfrm>
    </dsp:sp>
    <dsp:sp modelId="{22EC3094-E53D-46E8-BCA1-0AB33CA232F3}">
      <dsp:nvSpPr>
        <dsp:cNvPr id="0" name=""/>
        <dsp:cNvSpPr/>
      </dsp:nvSpPr>
      <dsp:spPr>
        <a:xfrm>
          <a:off x="1023858" y="248"/>
          <a:ext cx="741707" cy="445024"/>
        </a:xfrm>
        <a:prstGeom prst="roundRect">
          <a:avLst>
            <a:gd name="adj" fmla="val 10000"/>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Depot de Zone</a:t>
          </a:r>
        </a:p>
      </dsp:txBody>
      <dsp:txXfrm>
        <a:off x="1036892" y="13282"/>
        <a:ext cx="715639" cy="418956"/>
      </dsp:txXfrm>
    </dsp:sp>
    <dsp:sp modelId="{608982D6-AFD2-4321-9884-F7A0F83A2A4C}">
      <dsp:nvSpPr>
        <dsp:cNvPr id="0" name=""/>
        <dsp:cNvSpPr/>
      </dsp:nvSpPr>
      <dsp:spPr>
        <a:xfrm rot="21599177">
          <a:off x="1830835" y="130665"/>
          <a:ext cx="157242" cy="183943"/>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1830835" y="167460"/>
        <a:ext cx="110069" cy="110365"/>
      </dsp:txXfrm>
    </dsp:sp>
    <dsp:sp modelId="{6A89F9ED-FE8D-45C5-AE0D-49DEC21BF9D4}">
      <dsp:nvSpPr>
        <dsp:cNvPr id="0" name=""/>
        <dsp:cNvSpPr/>
      </dsp:nvSpPr>
      <dsp:spPr>
        <a:xfrm>
          <a:off x="2062248" y="0"/>
          <a:ext cx="741707" cy="445024"/>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Régions</a:t>
          </a:r>
        </a:p>
      </dsp:txBody>
      <dsp:txXfrm>
        <a:off x="2075282" y="13034"/>
        <a:ext cx="715639" cy="418956"/>
      </dsp:txXfrm>
    </dsp:sp>
    <dsp:sp modelId="{8EDF29FE-A588-4065-AFB1-CF4693DEE480}">
      <dsp:nvSpPr>
        <dsp:cNvPr id="0" name=""/>
        <dsp:cNvSpPr/>
      </dsp:nvSpPr>
      <dsp:spPr>
        <a:xfrm rot="878">
          <a:off x="2854741" y="130663"/>
          <a:ext cx="122346" cy="183943"/>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2854741" y="167447"/>
        <a:ext cx="85642" cy="110365"/>
      </dsp:txXfrm>
    </dsp:sp>
    <dsp:sp modelId="{7A51EE58-4D51-43BE-86D2-CF0A0F87E074}">
      <dsp:nvSpPr>
        <dsp:cNvPr id="0" name=""/>
        <dsp:cNvSpPr/>
      </dsp:nvSpPr>
      <dsp:spPr>
        <a:xfrm>
          <a:off x="3034797" y="248"/>
          <a:ext cx="741707" cy="445024"/>
        </a:xfrm>
        <a:prstGeom prst="roundRect">
          <a:avLst>
            <a:gd name="adj" fmla="val 10000"/>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District</a:t>
          </a:r>
        </a:p>
      </dsp:txBody>
      <dsp:txXfrm>
        <a:off x="3047831" y="13282"/>
        <a:ext cx="715639" cy="418956"/>
      </dsp:txXfrm>
    </dsp:sp>
    <dsp:sp modelId="{24629B66-318D-421F-96E0-821CFE36EF1D}">
      <dsp:nvSpPr>
        <dsp:cNvPr id="0" name=""/>
        <dsp:cNvSpPr/>
      </dsp:nvSpPr>
      <dsp:spPr>
        <a:xfrm>
          <a:off x="3838557" y="130788"/>
          <a:ext cx="149489" cy="183943"/>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3838557" y="167577"/>
        <a:ext cx="104642" cy="110365"/>
      </dsp:txXfrm>
    </dsp:sp>
    <dsp:sp modelId="{0CF1EC73-A212-414C-832E-9962E7AF9791}">
      <dsp:nvSpPr>
        <dsp:cNvPr id="0" name=""/>
        <dsp:cNvSpPr/>
      </dsp:nvSpPr>
      <dsp:spPr>
        <a:xfrm>
          <a:off x="4058562" y="248"/>
          <a:ext cx="741707" cy="445024"/>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CSI</a:t>
          </a:r>
        </a:p>
      </dsp:txBody>
      <dsp:txXfrm>
        <a:off x="4071596" y="13282"/>
        <a:ext cx="715639" cy="41895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35A59CFF9BC94A84D5115AB1EA0959" ma:contentTypeVersion="11" ma:contentTypeDescription="Crée un document." ma:contentTypeScope="" ma:versionID="7a1e95bbe36073e633a223e4f006d87c">
  <xsd:schema xmlns:xsd="http://www.w3.org/2001/XMLSchema" xmlns:xs="http://www.w3.org/2001/XMLSchema" xmlns:p="http://schemas.microsoft.com/office/2006/metadata/properties" xmlns:ns2="1cfd504d-e3b5-48d5-93dc-2c4a2642b0ec" xmlns:ns3="ce25a1f6-fcf4-4778-946d-6aaa15affb91" targetNamespace="http://schemas.microsoft.com/office/2006/metadata/properties" ma:root="true" ma:fieldsID="a8fab4351d7bcdbef825ed94ecaf095a" ns2:_="" ns3:_="">
    <xsd:import namespace="1cfd504d-e3b5-48d5-93dc-2c4a2642b0ec"/>
    <xsd:import namespace="ce25a1f6-fcf4-4778-946d-6aaa15aff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504d-e3b5-48d5-93dc-2c4a2642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5a1f6-fcf4-4778-946d-6aaa15affb9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4036A-8FE9-4B22-8595-891B4F85C5FD}">
  <ds:schemaRefs>
    <ds:schemaRef ds:uri="http://schemas.openxmlformats.org/officeDocument/2006/bibliography"/>
  </ds:schemaRefs>
</ds:datastoreItem>
</file>

<file path=customXml/itemProps2.xml><?xml version="1.0" encoding="utf-8"?>
<ds:datastoreItem xmlns:ds="http://schemas.openxmlformats.org/officeDocument/2006/customXml" ds:itemID="{95337997-9EF5-4129-8E24-26DA7711F08F}"/>
</file>

<file path=customXml/itemProps3.xml><?xml version="1.0" encoding="utf-8"?>
<ds:datastoreItem xmlns:ds="http://schemas.openxmlformats.org/officeDocument/2006/customXml" ds:itemID="{BCD45859-F7F0-4020-AACE-0B7201A8A4BD}"/>
</file>

<file path=customXml/itemProps4.xml><?xml version="1.0" encoding="utf-8"?>
<ds:datastoreItem xmlns:ds="http://schemas.openxmlformats.org/officeDocument/2006/customXml" ds:itemID="{20A909FA-9051-4F17-8BA4-9B0905A5D592}"/>
</file>

<file path=docProps/app.xml><?xml version="1.0" encoding="utf-8"?>
<Properties xmlns="http://schemas.openxmlformats.org/officeDocument/2006/extended-properties" xmlns:vt="http://schemas.openxmlformats.org/officeDocument/2006/docPropsVTypes">
  <Template>Normal</Template>
  <TotalTime>15</TotalTime>
  <Pages>23</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 Stephane</dc:creator>
  <cp:keywords/>
  <dc:description/>
  <cp:lastModifiedBy>Konan Stephane</cp:lastModifiedBy>
  <cp:revision>4</cp:revision>
  <dcterms:created xsi:type="dcterms:W3CDTF">2019-11-14T10:59:00Z</dcterms:created>
  <dcterms:modified xsi:type="dcterms:W3CDTF">2019-11-15T19:08:00Z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0x0101004135A59CFF9BC94A84D5115AB1EA0959</vt:lpwstr>
  </property>
</Properties>
</file>